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FD" w:rsidRPr="00A06E2C" w:rsidRDefault="00D711FD" w:rsidP="00D711FD">
      <w:pPr>
        <w:pStyle w:val="Default"/>
        <w:rPr>
          <w:color w:val="auto"/>
        </w:rPr>
      </w:pPr>
      <w:r w:rsidRPr="00A45223">
        <w:rPr>
          <w:color w:val="auto"/>
        </w:rPr>
        <w:t>УДК 631.42</w:t>
      </w:r>
      <w:r w:rsidRPr="00A06E2C">
        <w:rPr>
          <w:color w:val="auto"/>
        </w:rPr>
        <w:t xml:space="preserve"> </w:t>
      </w:r>
    </w:p>
    <w:p w:rsidR="00D711FD" w:rsidRPr="00A06E2C" w:rsidRDefault="00D711FD" w:rsidP="00D711FD">
      <w:pPr>
        <w:pStyle w:val="Default"/>
        <w:rPr>
          <w:color w:val="auto"/>
        </w:rPr>
      </w:pPr>
    </w:p>
    <w:p w:rsidR="00D711FD" w:rsidRPr="00D711FD" w:rsidRDefault="00D711FD" w:rsidP="00D711FD">
      <w:pPr>
        <w:pStyle w:val="Default"/>
        <w:spacing w:line="360" w:lineRule="auto"/>
        <w:jc w:val="center"/>
        <w:rPr>
          <w:caps/>
          <w:color w:val="auto"/>
        </w:rPr>
      </w:pPr>
      <w:r>
        <w:rPr>
          <w:b/>
          <w:bCs/>
          <w:caps/>
          <w:color w:val="auto"/>
        </w:rPr>
        <w:t>случайно ли сходство почвенно-геохимической структуры катен Тобольского материка, Ишимской равнины и плавского плато?</w:t>
      </w:r>
    </w:p>
    <w:p w:rsidR="00D711FD" w:rsidRPr="00A06E2C" w:rsidRDefault="00D711FD" w:rsidP="00D711FD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И.Н. Семенков</w:t>
      </w:r>
    </w:p>
    <w:p w:rsidR="00D711FD" w:rsidRPr="00D711FD" w:rsidRDefault="00D711FD" w:rsidP="00D711FD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Московский государственный университет имени М.В. Ломоносова</w:t>
      </w:r>
      <w:r w:rsidRPr="00A06E2C">
        <w:rPr>
          <w:color w:val="auto"/>
        </w:rPr>
        <w:t xml:space="preserve">, </w:t>
      </w:r>
      <w:r>
        <w:rPr>
          <w:color w:val="auto"/>
        </w:rPr>
        <w:t>Москва</w:t>
      </w:r>
      <w:r w:rsidRPr="00A06E2C">
        <w:rPr>
          <w:color w:val="auto"/>
        </w:rPr>
        <w:t xml:space="preserve">, </w:t>
      </w:r>
      <w:proofErr w:type="spellStart"/>
      <w:r>
        <w:rPr>
          <w:color w:val="auto"/>
          <w:lang w:val="en-US"/>
        </w:rPr>
        <w:t>ivan</w:t>
      </w:r>
      <w:proofErr w:type="spellEnd"/>
      <w:r w:rsidRPr="00D711FD">
        <w:rPr>
          <w:color w:val="auto"/>
        </w:rPr>
        <w:t>.</w:t>
      </w:r>
      <w:r>
        <w:rPr>
          <w:color w:val="auto"/>
          <w:lang w:val="en-US"/>
        </w:rPr>
        <w:t>from</w:t>
      </w:r>
      <w:r w:rsidRPr="00D711FD">
        <w:rPr>
          <w:color w:val="auto"/>
        </w:rPr>
        <w:t>.</w:t>
      </w:r>
      <w:proofErr w:type="spellStart"/>
      <w:r>
        <w:rPr>
          <w:color w:val="auto"/>
          <w:lang w:val="en-US"/>
        </w:rPr>
        <w:t>murygino</w:t>
      </w:r>
      <w:proofErr w:type="spellEnd"/>
      <w:r w:rsidRPr="00D711FD">
        <w:rPr>
          <w:color w:val="auto"/>
        </w:rPr>
        <w:t>@</w:t>
      </w:r>
      <w:proofErr w:type="spellStart"/>
      <w:r>
        <w:rPr>
          <w:color w:val="auto"/>
          <w:lang w:val="en-US"/>
        </w:rPr>
        <w:t>yandex</w:t>
      </w:r>
      <w:proofErr w:type="spellEnd"/>
      <w:r w:rsidRPr="00D711FD"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D711FD" w:rsidRPr="00A06E2C" w:rsidRDefault="00D711FD" w:rsidP="00D711FD">
      <w:pPr>
        <w:pStyle w:val="Default"/>
        <w:spacing w:line="360" w:lineRule="auto"/>
        <w:jc w:val="center"/>
        <w:rPr>
          <w:color w:val="auto"/>
        </w:rPr>
      </w:pPr>
    </w:p>
    <w:p w:rsidR="00D711FD" w:rsidRPr="00FB12F5" w:rsidRDefault="00F00059" w:rsidP="00A45223">
      <w:pPr>
        <w:pStyle w:val="Default"/>
        <w:spacing w:line="360" w:lineRule="auto"/>
        <w:ind w:firstLine="284"/>
        <w:jc w:val="both"/>
        <w:rPr>
          <w:i/>
          <w:color w:val="auto"/>
        </w:rPr>
      </w:pPr>
      <w:r>
        <w:rPr>
          <w:i/>
          <w:color w:val="auto"/>
        </w:rPr>
        <w:t xml:space="preserve">В почвах таежных, подтаежных и лесостепных катен центра Восточно-Европейской и </w:t>
      </w:r>
      <w:proofErr w:type="gramStart"/>
      <w:r>
        <w:rPr>
          <w:i/>
          <w:color w:val="auto"/>
        </w:rPr>
        <w:t>Западно-Сибирской</w:t>
      </w:r>
      <w:proofErr w:type="gramEnd"/>
      <w:r>
        <w:rPr>
          <w:i/>
          <w:color w:val="auto"/>
        </w:rPr>
        <w:t xml:space="preserve"> равнин исследованы корреляционные связи между содержанием металлов (</w:t>
      </w:r>
      <w:r w:rsidRPr="00F76921">
        <w:rPr>
          <w:color w:val="auto"/>
        </w:rPr>
        <w:t>Fe, Mn, Pb, Co, Ni, Zn, Cu, Cr и Sr</w:t>
      </w:r>
      <w:r>
        <w:rPr>
          <w:i/>
          <w:color w:val="auto"/>
        </w:rPr>
        <w:t>)</w:t>
      </w:r>
      <w:r w:rsidR="00D711FD" w:rsidRPr="00FB12F5">
        <w:rPr>
          <w:i/>
          <w:color w:val="auto"/>
        </w:rPr>
        <w:t xml:space="preserve"> </w:t>
      </w:r>
      <w:r>
        <w:rPr>
          <w:i/>
          <w:color w:val="auto"/>
        </w:rPr>
        <w:t>и свойствами почв (величиной рН,</w:t>
      </w:r>
      <w:r w:rsidR="002D3439">
        <w:rPr>
          <w:i/>
          <w:color w:val="auto"/>
        </w:rPr>
        <w:t xml:space="preserve"> содержанием гумуса и гранулометрическими фракциями</w:t>
      </w:r>
      <w:r>
        <w:rPr>
          <w:i/>
          <w:color w:val="auto"/>
        </w:rPr>
        <w:t>)</w:t>
      </w:r>
      <w:r w:rsidR="002D3439">
        <w:rPr>
          <w:i/>
          <w:color w:val="auto"/>
        </w:rPr>
        <w:t xml:space="preserve">. Выявлено сходство почвенно-геохимической структуры таежных катен западной части Тобольского материка с подтаежными и лесостепными </w:t>
      </w:r>
      <w:proofErr w:type="spellStart"/>
      <w:r w:rsidR="002D3439">
        <w:rPr>
          <w:i/>
          <w:color w:val="auto"/>
        </w:rPr>
        <w:t>катенами</w:t>
      </w:r>
      <w:proofErr w:type="spellEnd"/>
      <w:r w:rsidR="002D3439">
        <w:rPr>
          <w:i/>
          <w:color w:val="auto"/>
        </w:rPr>
        <w:t xml:space="preserve"> Ишимской равнины и Плавского плато.</w:t>
      </w:r>
    </w:p>
    <w:p w:rsidR="00D711FD" w:rsidRPr="00A06E2C" w:rsidRDefault="00D711FD" w:rsidP="00A45223">
      <w:pPr>
        <w:pStyle w:val="Default"/>
        <w:spacing w:line="360" w:lineRule="auto"/>
        <w:ind w:firstLine="284"/>
        <w:jc w:val="both"/>
        <w:rPr>
          <w:i/>
          <w:iCs/>
          <w:color w:val="auto"/>
        </w:rPr>
      </w:pPr>
      <w:r w:rsidRPr="00A06E2C">
        <w:rPr>
          <w:i/>
          <w:iCs/>
          <w:color w:val="auto"/>
        </w:rPr>
        <w:t xml:space="preserve">Ключевые слова: </w:t>
      </w:r>
      <w:r w:rsidR="00A45223">
        <w:rPr>
          <w:i/>
          <w:iCs/>
          <w:color w:val="auto"/>
        </w:rPr>
        <w:t xml:space="preserve">тяжелые металлы, подвижные соединения, эволюция почвенного покрова, «почва-память», </w:t>
      </w:r>
      <w:proofErr w:type="spellStart"/>
      <w:r w:rsidR="00A45223">
        <w:rPr>
          <w:i/>
          <w:iCs/>
          <w:color w:val="auto"/>
        </w:rPr>
        <w:t>катена</w:t>
      </w:r>
      <w:proofErr w:type="spellEnd"/>
      <w:r w:rsidR="00A45223">
        <w:rPr>
          <w:i/>
          <w:iCs/>
          <w:color w:val="auto"/>
        </w:rPr>
        <w:t xml:space="preserve">, </w:t>
      </w:r>
      <w:proofErr w:type="spellStart"/>
      <w:r w:rsidR="00A45223">
        <w:rPr>
          <w:i/>
          <w:iCs/>
          <w:color w:val="auto"/>
        </w:rPr>
        <w:t>гумусонакопление</w:t>
      </w:r>
      <w:proofErr w:type="spellEnd"/>
      <w:r w:rsidRPr="00A06E2C">
        <w:rPr>
          <w:i/>
          <w:iCs/>
          <w:color w:val="auto"/>
        </w:rPr>
        <w:t xml:space="preserve">. </w:t>
      </w:r>
    </w:p>
    <w:p w:rsidR="00D711FD" w:rsidRPr="00A06E2C" w:rsidRDefault="00D711FD" w:rsidP="00D711FD">
      <w:pPr>
        <w:pStyle w:val="Default"/>
        <w:ind w:firstLine="284"/>
        <w:rPr>
          <w:color w:val="auto"/>
        </w:rPr>
      </w:pPr>
    </w:p>
    <w:p w:rsidR="00ED3E36" w:rsidRDefault="001261F8" w:rsidP="00D711FD">
      <w:pPr>
        <w:pStyle w:val="Default"/>
        <w:spacing w:line="360" w:lineRule="auto"/>
        <w:ind w:firstLine="284"/>
        <w:jc w:val="both"/>
        <w:rPr>
          <w:color w:val="auto"/>
        </w:rPr>
      </w:pPr>
      <w:r w:rsidRPr="00342DC1">
        <w:rPr>
          <w:b/>
          <w:bCs/>
        </w:rPr>
        <w:t>Актуальность</w:t>
      </w:r>
      <w:r>
        <w:rPr>
          <w:b/>
          <w:bCs/>
        </w:rPr>
        <w:t>.</w:t>
      </w:r>
      <w:r>
        <w:rPr>
          <w:color w:val="auto"/>
        </w:rPr>
        <w:t xml:space="preserve"> </w:t>
      </w:r>
      <w:r w:rsidR="00ED3E36">
        <w:rPr>
          <w:color w:val="auto"/>
        </w:rPr>
        <w:t xml:space="preserve">Генезис </w:t>
      </w:r>
      <w:proofErr w:type="spellStart"/>
      <w:r w:rsidR="00ED3E36">
        <w:rPr>
          <w:color w:val="auto"/>
        </w:rPr>
        <w:t>высокогумусных</w:t>
      </w:r>
      <w:proofErr w:type="spellEnd"/>
      <w:r w:rsidR="00ED3E36">
        <w:rPr>
          <w:color w:val="auto"/>
        </w:rPr>
        <w:t xml:space="preserve"> дерново-подзолистых почв Тобольского материка со слабыми признаками элювиально-иллювиальной дифференциации до сих пор остается дискуссионным, что во мног</w:t>
      </w:r>
      <w:r w:rsidR="002D3439">
        <w:rPr>
          <w:color w:val="auto"/>
        </w:rPr>
        <w:t>ом объясняется сложностью интер</w:t>
      </w:r>
      <w:r w:rsidR="00ED3E36">
        <w:rPr>
          <w:color w:val="auto"/>
        </w:rPr>
        <w:t>претации геологического развития территории в голоцене</w:t>
      </w:r>
      <w:r w:rsidR="00B44DC0">
        <w:rPr>
          <w:color w:val="auto"/>
        </w:rPr>
        <w:t>. Исходя из минералогической однородности лессовидных карбонатных суглинков в южной части Западной Сибири от южной тайги до подтайги, предполагается, что изначально почвообразование на этой обширной территории шло на сходных по физико-химическим свойствам</w:t>
      </w:r>
      <w:r w:rsidR="002D3439">
        <w:rPr>
          <w:color w:val="auto"/>
        </w:rPr>
        <w:t xml:space="preserve"> породах</w:t>
      </w:r>
      <w:r w:rsidR="00B44DC0">
        <w:rPr>
          <w:color w:val="auto"/>
        </w:rPr>
        <w:t xml:space="preserve">. В процессе эволюции почвенного покрова в </w:t>
      </w:r>
      <w:proofErr w:type="spellStart"/>
      <w:r w:rsidR="00B44DC0">
        <w:rPr>
          <w:color w:val="auto"/>
        </w:rPr>
        <w:t>гумидных</w:t>
      </w:r>
      <w:proofErr w:type="spellEnd"/>
      <w:r w:rsidR="00B44DC0">
        <w:rPr>
          <w:color w:val="auto"/>
        </w:rPr>
        <w:t xml:space="preserve"> условиях содержание карбонатов в почвообразующих породах северной части региона уменьшилось до 2 –</w:t>
      </w:r>
      <w:r w:rsidR="002D3439">
        <w:rPr>
          <w:color w:val="auto"/>
        </w:rPr>
        <w:t xml:space="preserve"> 3%, оставшись до 8</w:t>
      </w:r>
      <w:r w:rsidR="00B44DC0">
        <w:rPr>
          <w:color w:val="auto"/>
        </w:rPr>
        <w:t>–9% на юге</w:t>
      </w:r>
      <w:r w:rsidR="006F5FE4">
        <w:rPr>
          <w:color w:val="auto"/>
        </w:rPr>
        <w:t>. В пределах одной почвенной катены почвообразующие породы дерново-глеевых почв подчиненных ландшафтов на глубине 1,7 – 1,8 м</w:t>
      </w:r>
      <w:r w:rsidR="00ED3E36">
        <w:rPr>
          <w:color w:val="auto"/>
        </w:rPr>
        <w:t xml:space="preserve"> </w:t>
      </w:r>
      <w:r w:rsidR="006F5FE4">
        <w:rPr>
          <w:color w:val="auto"/>
        </w:rPr>
        <w:t xml:space="preserve">содержат в 3 раза меньше карбонатов, чем породы на тех же глубинах автономных дерново-подзолистых почв. Только на глубине 4 м содержания сравниваются </w:t>
      </w:r>
      <w:r w:rsidR="00ED3E36" w:rsidRPr="00ED3E36">
        <w:rPr>
          <w:color w:val="auto"/>
        </w:rPr>
        <w:t>[</w:t>
      </w:r>
      <w:r w:rsidR="002D3439">
        <w:rPr>
          <w:color w:val="auto"/>
        </w:rPr>
        <w:t>1</w:t>
      </w:r>
      <w:r w:rsidR="00ED3E36" w:rsidRPr="00ED3E36">
        <w:rPr>
          <w:color w:val="auto"/>
        </w:rPr>
        <w:t>]</w:t>
      </w:r>
      <w:r w:rsidR="00D73F63">
        <w:rPr>
          <w:color w:val="auto"/>
        </w:rPr>
        <w:t>.</w:t>
      </w:r>
    </w:p>
    <w:p w:rsidR="009A2D1E" w:rsidRDefault="00D73F63" w:rsidP="00D711FD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В пределах современной </w:t>
      </w:r>
      <w:proofErr w:type="spellStart"/>
      <w:r>
        <w:rPr>
          <w:color w:val="auto"/>
        </w:rPr>
        <w:t>подзоны</w:t>
      </w:r>
      <w:proofErr w:type="spellEnd"/>
      <w:r>
        <w:rPr>
          <w:color w:val="auto"/>
        </w:rPr>
        <w:t xml:space="preserve"> южной тайги Западной Сибири п</w:t>
      </w:r>
      <w:r w:rsidR="00E710CB">
        <w:rPr>
          <w:color w:val="auto"/>
        </w:rPr>
        <w:t xml:space="preserve">осле </w:t>
      </w:r>
      <w:r>
        <w:rPr>
          <w:color w:val="auto"/>
        </w:rPr>
        <w:t xml:space="preserve">деградации </w:t>
      </w:r>
      <w:proofErr w:type="spellStart"/>
      <w:r>
        <w:rPr>
          <w:color w:val="auto"/>
        </w:rPr>
        <w:t>перегляциальных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тундростепей</w:t>
      </w:r>
      <w:proofErr w:type="spellEnd"/>
      <w:r>
        <w:rPr>
          <w:color w:val="auto"/>
        </w:rPr>
        <w:t xml:space="preserve"> на субаэральных лессовидных суглинках произрастала травяниста</w:t>
      </w:r>
      <w:r w:rsidR="00E710CB">
        <w:rPr>
          <w:color w:val="auto"/>
        </w:rPr>
        <w:t>я растительность, в</w:t>
      </w:r>
      <w:r>
        <w:rPr>
          <w:color w:val="auto"/>
        </w:rPr>
        <w:t xml:space="preserve"> на песках – сосняки </w:t>
      </w:r>
      <w:r w:rsidRPr="00D73F63">
        <w:rPr>
          <w:color w:val="auto"/>
        </w:rPr>
        <w:t>[</w:t>
      </w:r>
      <w:r w:rsidR="002D3439">
        <w:rPr>
          <w:color w:val="auto"/>
        </w:rPr>
        <w:t>2</w:t>
      </w:r>
      <w:r w:rsidRPr="00D73F63">
        <w:rPr>
          <w:color w:val="auto"/>
        </w:rPr>
        <w:t>]</w:t>
      </w:r>
      <w:r w:rsidR="00E710CB">
        <w:rPr>
          <w:color w:val="auto"/>
        </w:rPr>
        <w:t>. По мере изменений сухостепных условий почвообразования на степные и лесостепные постепенно создавались условия для поселения лесной растительности, в результате чего произошел п</w:t>
      </w:r>
      <w:r w:rsidR="00F0401C">
        <w:rPr>
          <w:color w:val="auto"/>
        </w:rPr>
        <w:t xml:space="preserve">ереход от травянистых </w:t>
      </w:r>
      <w:r w:rsidR="00F0401C">
        <w:rPr>
          <w:color w:val="auto"/>
        </w:rPr>
        <w:lastRenderedPageBreak/>
        <w:t xml:space="preserve">формаций, постоянно пополнявших запасы элементов питания, к лесной, накапливающих химические элементы только в фитомассе и подстилке. В настоящее время в </w:t>
      </w:r>
      <w:proofErr w:type="spellStart"/>
      <w:r w:rsidR="00F0401C">
        <w:rPr>
          <w:color w:val="auto"/>
        </w:rPr>
        <w:t>южнотаежных</w:t>
      </w:r>
      <w:proofErr w:type="spellEnd"/>
      <w:r w:rsidR="00F0401C">
        <w:rPr>
          <w:color w:val="auto"/>
        </w:rPr>
        <w:t xml:space="preserve"> ландшафтах </w:t>
      </w:r>
      <w:proofErr w:type="gramStart"/>
      <w:r w:rsidR="00F0401C">
        <w:rPr>
          <w:color w:val="auto"/>
        </w:rPr>
        <w:t>Западно-Сибирской</w:t>
      </w:r>
      <w:proofErr w:type="gramEnd"/>
      <w:r w:rsidR="00F0401C">
        <w:rPr>
          <w:color w:val="auto"/>
        </w:rPr>
        <w:t xml:space="preserve"> равнины поступающее с </w:t>
      </w:r>
      <w:proofErr w:type="spellStart"/>
      <w:r w:rsidR="00F0401C">
        <w:rPr>
          <w:color w:val="auto"/>
        </w:rPr>
        <w:t>опадом</w:t>
      </w:r>
      <w:proofErr w:type="spellEnd"/>
      <w:r w:rsidR="00F0401C">
        <w:rPr>
          <w:color w:val="auto"/>
        </w:rPr>
        <w:t xml:space="preserve"> органическое вещество быстро разлагается с формированием соединений, легко вымываемых в нижние почвенные горизонты. В результате образую</w:t>
      </w:r>
      <w:r w:rsidR="002D3439">
        <w:rPr>
          <w:color w:val="auto"/>
        </w:rPr>
        <w:t>щиеся гумусовые горизонты оказываются светлее</w:t>
      </w:r>
      <w:r w:rsidR="00F0401C">
        <w:rPr>
          <w:color w:val="auto"/>
        </w:rPr>
        <w:t xml:space="preserve"> </w:t>
      </w:r>
      <w:r w:rsidR="002D3439">
        <w:rPr>
          <w:color w:val="auto"/>
        </w:rPr>
        <w:t>относительно</w:t>
      </w:r>
      <w:r w:rsidR="00F0401C">
        <w:rPr>
          <w:color w:val="auto"/>
        </w:rPr>
        <w:t xml:space="preserve"> более ранни</w:t>
      </w:r>
      <w:r w:rsidR="002D3439">
        <w:rPr>
          <w:color w:val="auto"/>
        </w:rPr>
        <w:t>х</w:t>
      </w:r>
      <w:r w:rsidR="00F0401C">
        <w:rPr>
          <w:color w:val="auto"/>
        </w:rPr>
        <w:t xml:space="preserve"> гумусовы</w:t>
      </w:r>
      <w:r w:rsidR="002D3439">
        <w:rPr>
          <w:color w:val="auto"/>
        </w:rPr>
        <w:t>х</w:t>
      </w:r>
      <w:r w:rsidR="00F0401C">
        <w:rPr>
          <w:color w:val="auto"/>
        </w:rPr>
        <w:t xml:space="preserve"> аккумуляци</w:t>
      </w:r>
      <w:r w:rsidR="002D3439">
        <w:rPr>
          <w:color w:val="auto"/>
        </w:rPr>
        <w:t>й</w:t>
      </w:r>
      <w:r w:rsidR="00F0401C">
        <w:rPr>
          <w:color w:val="auto"/>
        </w:rPr>
        <w:t>, сформировавши</w:t>
      </w:r>
      <w:r w:rsidR="002D3439">
        <w:rPr>
          <w:color w:val="auto"/>
        </w:rPr>
        <w:t>х</w:t>
      </w:r>
      <w:r w:rsidR="00F0401C">
        <w:rPr>
          <w:color w:val="auto"/>
        </w:rPr>
        <w:t xml:space="preserve">ся в эпоху </w:t>
      </w:r>
      <w:proofErr w:type="spellStart"/>
      <w:r w:rsidR="00F0401C">
        <w:rPr>
          <w:color w:val="auto"/>
        </w:rPr>
        <w:t>голоценового</w:t>
      </w:r>
      <w:proofErr w:type="spellEnd"/>
      <w:r w:rsidR="00F0401C">
        <w:rPr>
          <w:color w:val="auto"/>
        </w:rPr>
        <w:t xml:space="preserve"> оптимума </w:t>
      </w:r>
      <w:r w:rsidR="00F0401C" w:rsidRPr="00ED3E36">
        <w:rPr>
          <w:color w:val="auto"/>
        </w:rPr>
        <w:t>[</w:t>
      </w:r>
      <w:r w:rsidR="002D3439">
        <w:rPr>
          <w:color w:val="auto"/>
        </w:rPr>
        <w:t>1</w:t>
      </w:r>
      <w:r w:rsidR="00F0401C" w:rsidRPr="00ED3E36">
        <w:rPr>
          <w:color w:val="auto"/>
        </w:rPr>
        <w:t>]</w:t>
      </w:r>
      <w:r w:rsidR="00F0401C">
        <w:rPr>
          <w:color w:val="auto"/>
        </w:rPr>
        <w:t>.</w:t>
      </w:r>
    </w:p>
    <w:p w:rsidR="00D73F63" w:rsidRDefault="00F0401C" w:rsidP="00D711FD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Предполагая, что вместе с наиболее консервативными морфологическими признаками уровня «почва-память» </w:t>
      </w:r>
      <w:r w:rsidRPr="00F0401C">
        <w:rPr>
          <w:color w:val="auto"/>
        </w:rPr>
        <w:t>[</w:t>
      </w:r>
      <w:r w:rsidR="002D3439">
        <w:rPr>
          <w:color w:val="auto"/>
        </w:rPr>
        <w:t>3</w:t>
      </w:r>
      <w:r w:rsidRPr="00F0401C">
        <w:rPr>
          <w:color w:val="auto"/>
        </w:rPr>
        <w:t>]</w:t>
      </w:r>
      <w:r>
        <w:rPr>
          <w:color w:val="auto"/>
        </w:rPr>
        <w:t xml:space="preserve"> в почвенном про</w:t>
      </w:r>
      <w:r w:rsidR="009A2D1E">
        <w:rPr>
          <w:color w:val="auto"/>
        </w:rPr>
        <w:t>ф</w:t>
      </w:r>
      <w:r>
        <w:rPr>
          <w:color w:val="auto"/>
        </w:rPr>
        <w:t xml:space="preserve">иле </w:t>
      </w:r>
      <w:r w:rsidR="009A2D1E">
        <w:rPr>
          <w:color w:val="auto"/>
        </w:rPr>
        <w:t xml:space="preserve">могут сохраниться соотношения химических элементов, свойственные более ранним стадиям почвообразования, </w:t>
      </w:r>
      <w:r w:rsidR="002D3439">
        <w:rPr>
          <w:color w:val="auto"/>
        </w:rPr>
        <w:t>рассмотрена</w:t>
      </w:r>
      <w:r w:rsidR="009A2D1E">
        <w:rPr>
          <w:color w:val="auto"/>
        </w:rPr>
        <w:t xml:space="preserve"> почвенно-геохимическ</w:t>
      </w:r>
      <w:r w:rsidR="002D3439">
        <w:rPr>
          <w:color w:val="auto"/>
        </w:rPr>
        <w:t>ая</w:t>
      </w:r>
      <w:r w:rsidR="009A2D1E">
        <w:rPr>
          <w:color w:val="auto"/>
        </w:rPr>
        <w:t xml:space="preserve"> структур</w:t>
      </w:r>
      <w:r w:rsidR="002D3439">
        <w:rPr>
          <w:color w:val="auto"/>
        </w:rPr>
        <w:t>а</w:t>
      </w:r>
      <w:r w:rsidR="009A2D1E">
        <w:rPr>
          <w:color w:val="auto"/>
        </w:rPr>
        <w:t xml:space="preserve"> таежных, подтаежных и лесостепных катен центра </w:t>
      </w:r>
      <w:proofErr w:type="gramStart"/>
      <w:r w:rsidR="009A2D1E">
        <w:rPr>
          <w:color w:val="auto"/>
        </w:rPr>
        <w:t>Западно-Сибирской</w:t>
      </w:r>
      <w:proofErr w:type="gramEnd"/>
      <w:r w:rsidR="009A2D1E">
        <w:rPr>
          <w:color w:val="auto"/>
        </w:rPr>
        <w:t xml:space="preserve"> и Восточно-Сибирской равнин. Под почвенно-геохимической структурой в настоящей работе подразумевается радиальное и латеральное распределение в катенах химических элементов и их соединений.</w:t>
      </w:r>
    </w:p>
    <w:p w:rsidR="009A2D1E" w:rsidRDefault="001261F8" w:rsidP="009A2D1E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b/>
          <w:bCs/>
        </w:rPr>
        <w:t>О</w:t>
      </w:r>
      <w:r w:rsidRPr="00342DC1">
        <w:rPr>
          <w:b/>
          <w:bCs/>
        </w:rPr>
        <w:t>бъекты и методы исследования</w:t>
      </w:r>
      <w:r>
        <w:rPr>
          <w:b/>
          <w:bCs/>
        </w:rPr>
        <w:t>.</w:t>
      </w:r>
      <w:r>
        <w:rPr>
          <w:color w:val="auto"/>
        </w:rPr>
        <w:t xml:space="preserve"> </w:t>
      </w:r>
      <w:r w:rsidR="009A2D1E" w:rsidRPr="009A2D1E">
        <w:rPr>
          <w:color w:val="auto"/>
        </w:rPr>
        <w:t xml:space="preserve">Таёжные катены исследованы на моренных карбонатных суглинках в юго-западной части </w:t>
      </w:r>
      <w:proofErr w:type="spellStart"/>
      <w:r w:rsidR="009A2D1E" w:rsidRPr="009A2D1E">
        <w:rPr>
          <w:color w:val="auto"/>
        </w:rPr>
        <w:t>Мезенско</w:t>
      </w:r>
      <w:proofErr w:type="spellEnd"/>
      <w:r w:rsidR="009A2D1E" w:rsidRPr="009A2D1E">
        <w:rPr>
          <w:color w:val="auto"/>
        </w:rPr>
        <w:t xml:space="preserve">-Вычегодской равнины </w:t>
      </w:r>
      <w:r w:rsidR="009A2D1E" w:rsidRPr="004348F5">
        <w:rPr>
          <w:color w:val="auto"/>
        </w:rPr>
        <w:t xml:space="preserve">на </w:t>
      </w:r>
      <w:proofErr w:type="spellStart"/>
      <w:r w:rsidR="009A2D1E" w:rsidRPr="009A2D1E">
        <w:rPr>
          <w:color w:val="auto"/>
        </w:rPr>
        <w:t>Ляльско</w:t>
      </w:r>
      <w:r w:rsidR="004348F5">
        <w:rPr>
          <w:color w:val="auto"/>
        </w:rPr>
        <w:t>м</w:t>
      </w:r>
      <w:proofErr w:type="spellEnd"/>
      <w:r w:rsidR="009A2D1E" w:rsidRPr="009A2D1E">
        <w:rPr>
          <w:color w:val="auto"/>
        </w:rPr>
        <w:t xml:space="preserve"> стационар</w:t>
      </w:r>
      <w:r w:rsidR="004348F5">
        <w:rPr>
          <w:color w:val="auto"/>
        </w:rPr>
        <w:t>е Института Биологии Коми СО РАН</w:t>
      </w:r>
      <w:r w:rsidR="009A2D1E" w:rsidRPr="009A2D1E">
        <w:rPr>
          <w:color w:val="auto"/>
        </w:rPr>
        <w:t xml:space="preserve"> </w:t>
      </w:r>
      <w:r w:rsidR="009A2D1E">
        <w:rPr>
          <w:color w:val="auto"/>
        </w:rPr>
        <w:t xml:space="preserve">и </w:t>
      </w:r>
      <w:r w:rsidR="009A2D1E" w:rsidRPr="009A2D1E">
        <w:rPr>
          <w:color w:val="auto"/>
        </w:rPr>
        <w:t xml:space="preserve">на </w:t>
      </w:r>
      <w:proofErr w:type="spellStart"/>
      <w:r w:rsidR="009A2D1E" w:rsidRPr="009A2D1E">
        <w:rPr>
          <w:color w:val="auto"/>
        </w:rPr>
        <w:t>озёрно</w:t>
      </w:r>
      <w:proofErr w:type="spellEnd"/>
      <w:r w:rsidR="009A2D1E" w:rsidRPr="009A2D1E">
        <w:rPr>
          <w:color w:val="auto"/>
        </w:rPr>
        <w:t>-аллювиальных суглинках в запа</w:t>
      </w:r>
      <w:r w:rsidR="002D3439">
        <w:rPr>
          <w:color w:val="auto"/>
        </w:rPr>
        <w:t>дной части Тобольского материка</w:t>
      </w:r>
      <w:r w:rsidR="009A2D1E">
        <w:rPr>
          <w:color w:val="auto"/>
        </w:rPr>
        <w:t xml:space="preserve">. </w:t>
      </w:r>
      <w:r w:rsidR="004348F5">
        <w:rPr>
          <w:color w:val="auto"/>
        </w:rPr>
        <w:t>Распаханные п</w:t>
      </w:r>
      <w:r w:rsidR="009A2D1E">
        <w:rPr>
          <w:color w:val="auto"/>
        </w:rPr>
        <w:t xml:space="preserve">одтаежные и лесостепные катены на карбонатных лессовидных суглинках изучены на </w:t>
      </w:r>
      <w:r w:rsidR="009A2D1E" w:rsidRPr="009A2D1E">
        <w:rPr>
          <w:color w:val="auto"/>
        </w:rPr>
        <w:t>Плавско</w:t>
      </w:r>
      <w:r w:rsidR="002D3439">
        <w:rPr>
          <w:color w:val="auto"/>
        </w:rPr>
        <w:t>м</w:t>
      </w:r>
      <w:r w:rsidR="009A2D1E" w:rsidRPr="009A2D1E">
        <w:rPr>
          <w:color w:val="auto"/>
        </w:rPr>
        <w:t xml:space="preserve"> плато</w:t>
      </w:r>
      <w:r w:rsidR="009A2D1E">
        <w:rPr>
          <w:color w:val="auto"/>
        </w:rPr>
        <w:t>, севере и западе Ишимской равнины.</w:t>
      </w:r>
    </w:p>
    <w:p w:rsidR="009A2D1E" w:rsidRDefault="009A2D1E" w:rsidP="009A2D1E">
      <w:pPr>
        <w:pStyle w:val="Default"/>
        <w:spacing w:line="360" w:lineRule="auto"/>
        <w:ind w:firstLine="284"/>
        <w:jc w:val="both"/>
        <w:rPr>
          <w:color w:val="auto"/>
        </w:rPr>
      </w:pPr>
      <w:r w:rsidRPr="009A2D1E">
        <w:rPr>
          <w:color w:val="auto"/>
        </w:rPr>
        <w:t xml:space="preserve">На междуречье </w:t>
      </w:r>
      <w:r>
        <w:rPr>
          <w:color w:val="auto"/>
        </w:rPr>
        <w:t xml:space="preserve">катен </w:t>
      </w:r>
      <w:proofErr w:type="spellStart"/>
      <w:r w:rsidRPr="009A2D1E">
        <w:rPr>
          <w:color w:val="auto"/>
        </w:rPr>
        <w:t>Мезенско</w:t>
      </w:r>
      <w:proofErr w:type="spellEnd"/>
      <w:r w:rsidRPr="009A2D1E">
        <w:rPr>
          <w:color w:val="auto"/>
        </w:rPr>
        <w:t xml:space="preserve">-Вычегодской равнины под елово-пихтовым можжевеловым злаково-разнотравно-зеленомошным лесом сформировались подзолистые остаточно-карбонатные почвы. Верхняя часть слабо покатых склонов занята молодым березово-ивовым с подростом ели и сосны </w:t>
      </w:r>
      <w:proofErr w:type="spellStart"/>
      <w:r w:rsidRPr="009A2D1E">
        <w:rPr>
          <w:color w:val="auto"/>
        </w:rPr>
        <w:t>мертвопокровным</w:t>
      </w:r>
      <w:proofErr w:type="spellEnd"/>
      <w:r w:rsidRPr="009A2D1E">
        <w:rPr>
          <w:color w:val="auto"/>
        </w:rPr>
        <w:t xml:space="preserve"> лесом, чередующимся с участками разнотравно-злакового луга, на дерново-подзолистых остаточно-карбонатных почвах. В средней и нижней частях склонов под ельником с примесью сосны и осины разнотравным или кисличным развиты дерново-подзолистые остаточно-карбонатные почвы, в том числе с вложенным </w:t>
      </w:r>
      <w:proofErr w:type="spellStart"/>
      <w:r w:rsidRPr="009A2D1E">
        <w:rPr>
          <w:color w:val="auto"/>
        </w:rPr>
        <w:t>субпрофилем</w:t>
      </w:r>
      <w:proofErr w:type="spellEnd"/>
      <w:r w:rsidRPr="009A2D1E">
        <w:rPr>
          <w:color w:val="auto"/>
        </w:rPr>
        <w:t xml:space="preserve"> подзола. В днище балки под еловым с примесью березы смородиново-разнотравно-зеленомошным лесом сформировались </w:t>
      </w:r>
      <w:proofErr w:type="spellStart"/>
      <w:r w:rsidRPr="009A2D1E">
        <w:rPr>
          <w:color w:val="auto"/>
        </w:rPr>
        <w:t>глеезёмы</w:t>
      </w:r>
      <w:proofErr w:type="spellEnd"/>
      <w:r w:rsidRPr="009A2D1E">
        <w:rPr>
          <w:color w:val="auto"/>
        </w:rPr>
        <w:t>.</w:t>
      </w:r>
      <w:r>
        <w:rPr>
          <w:color w:val="auto"/>
        </w:rPr>
        <w:t xml:space="preserve"> </w:t>
      </w:r>
      <w:r w:rsidRPr="009A2D1E">
        <w:rPr>
          <w:color w:val="auto"/>
        </w:rPr>
        <w:t xml:space="preserve">Междуречье и склоны </w:t>
      </w:r>
      <w:r>
        <w:rPr>
          <w:color w:val="auto"/>
        </w:rPr>
        <w:t xml:space="preserve">катен Тобольского материка </w:t>
      </w:r>
      <w:r w:rsidRPr="009A2D1E">
        <w:rPr>
          <w:color w:val="auto"/>
        </w:rPr>
        <w:t>заняты елово-пихтовым с рябиной и подростом пихты разнотравно-</w:t>
      </w:r>
      <w:proofErr w:type="spellStart"/>
      <w:r w:rsidRPr="009A2D1E">
        <w:rPr>
          <w:color w:val="auto"/>
        </w:rPr>
        <w:t>хвощово</w:t>
      </w:r>
      <w:proofErr w:type="spellEnd"/>
      <w:r w:rsidRPr="009A2D1E">
        <w:rPr>
          <w:color w:val="auto"/>
        </w:rPr>
        <w:t xml:space="preserve">-осоковым лесом на дерновых оподзоленных почвах со вторым гумусовым горизонтом. В воронке сбора талых вод и в днище балки под </w:t>
      </w:r>
      <w:proofErr w:type="spellStart"/>
      <w:r w:rsidRPr="009A2D1E">
        <w:rPr>
          <w:color w:val="auto"/>
        </w:rPr>
        <w:t>низкобонитетным</w:t>
      </w:r>
      <w:proofErr w:type="spellEnd"/>
      <w:r w:rsidRPr="009A2D1E">
        <w:rPr>
          <w:color w:val="auto"/>
        </w:rPr>
        <w:t xml:space="preserve"> елово-пихтовым зеленомошным лесом находятся перегнойно-глеевые почвы (</w:t>
      </w:r>
      <w:proofErr w:type="spellStart"/>
      <w:r w:rsidRPr="009A2D1E">
        <w:rPr>
          <w:color w:val="auto"/>
        </w:rPr>
        <w:t>глеезёмы</w:t>
      </w:r>
      <w:proofErr w:type="spellEnd"/>
      <w:r w:rsidRPr="009A2D1E">
        <w:rPr>
          <w:color w:val="auto"/>
        </w:rPr>
        <w:t>).</w:t>
      </w:r>
    </w:p>
    <w:p w:rsidR="009A2D1E" w:rsidRDefault="009A2D1E" w:rsidP="009A2D1E">
      <w:pPr>
        <w:pStyle w:val="Default"/>
        <w:spacing w:line="360" w:lineRule="auto"/>
        <w:ind w:firstLine="284"/>
        <w:jc w:val="both"/>
        <w:rPr>
          <w:color w:val="auto"/>
        </w:rPr>
      </w:pPr>
      <w:r w:rsidRPr="009A2D1E">
        <w:rPr>
          <w:color w:val="auto"/>
        </w:rPr>
        <w:lastRenderedPageBreak/>
        <w:t xml:space="preserve">На междуречье </w:t>
      </w:r>
      <w:r w:rsidR="004348F5">
        <w:rPr>
          <w:color w:val="auto"/>
        </w:rPr>
        <w:t>п</w:t>
      </w:r>
      <w:r w:rsidR="004348F5" w:rsidRPr="009A2D1E">
        <w:rPr>
          <w:color w:val="auto"/>
        </w:rPr>
        <w:t>одтаёжны</w:t>
      </w:r>
      <w:r w:rsidR="004348F5">
        <w:rPr>
          <w:color w:val="auto"/>
        </w:rPr>
        <w:t>х</w:t>
      </w:r>
      <w:r w:rsidR="004348F5" w:rsidRPr="009A2D1E">
        <w:rPr>
          <w:color w:val="auto"/>
        </w:rPr>
        <w:t xml:space="preserve"> </w:t>
      </w:r>
      <w:r w:rsidR="004348F5">
        <w:rPr>
          <w:color w:val="auto"/>
        </w:rPr>
        <w:t>катен</w:t>
      </w:r>
      <w:r w:rsidR="004348F5" w:rsidRPr="009A2D1E">
        <w:rPr>
          <w:color w:val="auto"/>
        </w:rPr>
        <w:t xml:space="preserve"> северной части Ишимской равнины </w:t>
      </w:r>
      <w:r w:rsidRPr="009A2D1E">
        <w:rPr>
          <w:color w:val="auto"/>
        </w:rPr>
        <w:t xml:space="preserve">под березовым разнотравно-злаковым лесом и на распаханных участках распространены тёмно-серые осолоделые почвы (глинисто-иллювиальные чернозёмы), под осиновым разреженно-злаковым лесом – солоди. На распаханных склонах развиты тёмно-серые осолоделые </w:t>
      </w:r>
      <w:proofErr w:type="spellStart"/>
      <w:r w:rsidRPr="009A2D1E">
        <w:rPr>
          <w:color w:val="auto"/>
        </w:rPr>
        <w:t>языковатые</w:t>
      </w:r>
      <w:proofErr w:type="spellEnd"/>
      <w:r w:rsidRPr="009A2D1E">
        <w:rPr>
          <w:color w:val="auto"/>
        </w:rPr>
        <w:t xml:space="preserve"> почвы, в днище балки – солоди. </w:t>
      </w:r>
      <w:r w:rsidR="004348F5" w:rsidRPr="009A2D1E">
        <w:rPr>
          <w:color w:val="auto"/>
        </w:rPr>
        <w:t xml:space="preserve">На междуречье и склонах </w:t>
      </w:r>
      <w:r w:rsidR="004348F5">
        <w:rPr>
          <w:color w:val="auto"/>
        </w:rPr>
        <w:t>катен</w:t>
      </w:r>
      <w:r w:rsidR="004348F5" w:rsidRPr="009A2D1E">
        <w:rPr>
          <w:color w:val="auto"/>
        </w:rPr>
        <w:t xml:space="preserve"> Плавского плато развиты </w:t>
      </w:r>
      <w:proofErr w:type="spellStart"/>
      <w:r w:rsidR="004348F5" w:rsidRPr="009A2D1E">
        <w:rPr>
          <w:color w:val="auto"/>
        </w:rPr>
        <w:t>агрочернозёмы</w:t>
      </w:r>
      <w:proofErr w:type="spellEnd"/>
      <w:r w:rsidR="004348F5" w:rsidRPr="009A2D1E">
        <w:rPr>
          <w:color w:val="auto"/>
        </w:rPr>
        <w:t xml:space="preserve"> глинисто-иллювиальные (выщелоченные и оподзоленные чернозёмы) на лёссовидных суглинках. Верхняя часть днища балки со </w:t>
      </w:r>
      <w:proofErr w:type="spellStart"/>
      <w:r w:rsidR="004348F5" w:rsidRPr="009A2D1E">
        <w:rPr>
          <w:color w:val="auto"/>
        </w:rPr>
        <w:t>стратозёмами</w:t>
      </w:r>
      <w:proofErr w:type="spellEnd"/>
      <w:r w:rsidR="004348F5" w:rsidRPr="009A2D1E">
        <w:rPr>
          <w:color w:val="auto"/>
        </w:rPr>
        <w:t xml:space="preserve"> (лугово-чернозёмными почвами) распахана, в средней и нижней – покрыта злаково-разнотравным лугом.</w:t>
      </w:r>
      <w:r w:rsidR="004348F5">
        <w:rPr>
          <w:color w:val="auto"/>
        </w:rPr>
        <w:t xml:space="preserve"> </w:t>
      </w:r>
      <w:r w:rsidRPr="009A2D1E">
        <w:rPr>
          <w:color w:val="auto"/>
        </w:rPr>
        <w:t xml:space="preserve">Междуречье </w:t>
      </w:r>
      <w:r w:rsidR="004348F5">
        <w:rPr>
          <w:color w:val="auto"/>
        </w:rPr>
        <w:t xml:space="preserve">катен западной части Ишимской равнины </w:t>
      </w:r>
      <w:r w:rsidRPr="009A2D1E">
        <w:rPr>
          <w:color w:val="auto"/>
        </w:rPr>
        <w:t xml:space="preserve">занято выщелоченными чернозёмами осолоделыми, склоны – оподзоленными чернозёмами осолоделыми, днище балки – </w:t>
      </w:r>
      <w:proofErr w:type="spellStart"/>
      <w:r w:rsidRPr="009A2D1E">
        <w:rPr>
          <w:color w:val="auto"/>
        </w:rPr>
        <w:t>солодями</w:t>
      </w:r>
      <w:proofErr w:type="spellEnd"/>
      <w:r w:rsidRPr="009A2D1E">
        <w:rPr>
          <w:color w:val="auto"/>
        </w:rPr>
        <w:t>.</w:t>
      </w:r>
    </w:p>
    <w:p w:rsidR="004348F5" w:rsidRPr="00F76921" w:rsidRDefault="004348F5" w:rsidP="009A2D1E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color w:val="auto"/>
        </w:rPr>
        <w:t>Всего на 5 ключевых участках балочных водосборов изучено 15 катен, на 71 точке заложено 60 почвенных разрезов и собрано 397 образцов.</w:t>
      </w:r>
      <w:r w:rsidR="00F76921" w:rsidRPr="00F76921">
        <w:rPr>
          <w:color w:val="auto"/>
        </w:rPr>
        <w:t xml:space="preserve"> Содержание гумуса и величина рН водной суспензии определены </w:t>
      </w:r>
      <w:r w:rsidR="00F76921">
        <w:rPr>
          <w:color w:val="auto"/>
        </w:rPr>
        <w:t>стандартными методами</w:t>
      </w:r>
      <w:r w:rsidR="00F76921" w:rsidRPr="00F76921">
        <w:rPr>
          <w:color w:val="auto"/>
        </w:rPr>
        <w:t>, гранулометрический состав – дифрактометрически; валовое содержание металлов – рентген-флуоресцентным методом</w:t>
      </w:r>
      <w:r w:rsidR="00F76921" w:rsidRPr="00F76921">
        <w:rPr>
          <w:color w:val="auto"/>
          <w:vertAlign w:val="superscript"/>
        </w:rPr>
        <w:footnoteReference w:id="1"/>
      </w:r>
      <w:r w:rsidR="00F76921" w:rsidRPr="00F76921">
        <w:rPr>
          <w:color w:val="auto"/>
        </w:rPr>
        <w:t>, содержание металлов в вытяжках – атомно-абсорбционным и масс-спектрометрическим</w:t>
      </w:r>
      <w:r w:rsidR="00F76921" w:rsidRPr="00F76921">
        <w:rPr>
          <w:color w:val="auto"/>
          <w:vertAlign w:val="superscript"/>
        </w:rPr>
        <w:footnoteReference w:id="2"/>
      </w:r>
      <w:r w:rsidR="00F76921" w:rsidRPr="00F76921">
        <w:rPr>
          <w:color w:val="auto"/>
        </w:rPr>
        <w:t xml:space="preserve"> методами. Непрочно связанные соединения Fe, Mn, Pb, Co, Ni, Zn, Cu, Cr и Sr экстрагировали в течение 18 ч тремя параллельными вытяжками: 1н HNO3 (соотношение почва:раствор 1:10), ацетатно-аммонийным буфером (ААБ) с рН 4,8 (1:5) и его раствором с 1%-ной этилендиаминтетрауксусной кислотой, ЭДТА (1:5). Обменные соединения</w:t>
      </w:r>
      <w:r w:rsidR="00F76921">
        <w:rPr>
          <w:color w:val="auto"/>
        </w:rPr>
        <w:t xml:space="preserve"> (</w:t>
      </w:r>
      <w:r w:rsidR="00F76921">
        <w:rPr>
          <w:color w:val="auto"/>
          <w:lang w:val="en-US"/>
        </w:rPr>
        <w:t>F</w:t>
      </w:r>
      <w:r w:rsidR="00F76921" w:rsidRPr="00F76921">
        <w:rPr>
          <w:color w:val="auto"/>
        </w:rPr>
        <w:t>1</w:t>
      </w:r>
      <w:r w:rsidR="00F76921">
        <w:rPr>
          <w:color w:val="auto"/>
        </w:rPr>
        <w:t>)</w:t>
      </w:r>
      <w:r w:rsidR="00F76921" w:rsidRPr="00F76921">
        <w:rPr>
          <w:color w:val="auto"/>
        </w:rPr>
        <w:t xml:space="preserve"> металлов, представленные преимущественно водорастворимыми, собственно обменными и частично карбонатными соединениями, извлекали ААБ. Комплексные соединения (</w:t>
      </w:r>
      <w:r w:rsidR="00F76921">
        <w:rPr>
          <w:color w:val="auto"/>
          <w:lang w:val="en-US"/>
        </w:rPr>
        <w:t>F</w:t>
      </w:r>
      <w:r w:rsidR="00F76921" w:rsidRPr="00F76921">
        <w:rPr>
          <w:color w:val="auto"/>
        </w:rPr>
        <w:t xml:space="preserve">2), включающие </w:t>
      </w:r>
      <w:proofErr w:type="spellStart"/>
      <w:r w:rsidR="00F76921" w:rsidRPr="00F76921">
        <w:rPr>
          <w:color w:val="auto"/>
        </w:rPr>
        <w:t>гуматы</w:t>
      </w:r>
      <w:proofErr w:type="spellEnd"/>
      <w:r w:rsidR="00F76921" w:rsidRPr="00F76921">
        <w:rPr>
          <w:color w:val="auto"/>
        </w:rPr>
        <w:t xml:space="preserve"> и фульваты, рассчитывали по разнице концентрации элементов в вытяжке ААБ с ЭДТА и чистого буфера; сорбированные гидроксидами Fe и Mn формы (</w:t>
      </w:r>
      <w:r w:rsidR="00F76921">
        <w:rPr>
          <w:color w:val="auto"/>
          <w:lang w:val="en-US"/>
        </w:rPr>
        <w:t>F</w:t>
      </w:r>
      <w:r w:rsidR="00F76921" w:rsidRPr="00F76921">
        <w:rPr>
          <w:color w:val="auto"/>
        </w:rPr>
        <w:t>3) – по разнице содержания в азотнокислой и ацетатно-аммонийной вытяжках [</w:t>
      </w:r>
      <w:r w:rsidR="00935089">
        <w:rPr>
          <w:color w:val="auto"/>
        </w:rPr>
        <w:t>4</w:t>
      </w:r>
      <w:r w:rsidR="00F76921" w:rsidRPr="00F76921">
        <w:rPr>
          <w:color w:val="auto"/>
        </w:rPr>
        <w:t>], трудно растворимые (</w:t>
      </w:r>
      <w:r w:rsidR="00F76921">
        <w:rPr>
          <w:color w:val="auto"/>
          <w:lang w:val="en-US"/>
        </w:rPr>
        <w:t>F</w:t>
      </w:r>
      <w:r w:rsidR="00F76921" w:rsidRPr="00F76921">
        <w:rPr>
          <w:color w:val="auto"/>
        </w:rPr>
        <w:t>4) – по разнице между валовым содержанием (</w:t>
      </w:r>
      <w:r w:rsidR="00F76921">
        <w:rPr>
          <w:color w:val="auto"/>
          <w:lang w:val="en-US"/>
        </w:rPr>
        <w:t>F</w:t>
      </w:r>
      <w:r w:rsidR="00F76921" w:rsidRPr="00F76921">
        <w:rPr>
          <w:color w:val="auto"/>
        </w:rPr>
        <w:t xml:space="preserve">5) и </w:t>
      </w:r>
      <w:r w:rsidR="00F76921">
        <w:rPr>
          <w:color w:val="auto"/>
        </w:rPr>
        <w:t>непрочно связанными</w:t>
      </w:r>
      <w:r w:rsidR="00F76921" w:rsidRPr="00F76921">
        <w:rPr>
          <w:color w:val="auto"/>
        </w:rPr>
        <w:t xml:space="preserve"> соединениями.</w:t>
      </w:r>
      <w:r w:rsidR="00F76921">
        <w:rPr>
          <w:color w:val="auto"/>
        </w:rPr>
        <w:t xml:space="preserve"> Между фракциями соединений металлов и свойствами почв считали коэффициенты корреляции, выделяя значимые с вероятностью не менее 0,95.</w:t>
      </w:r>
    </w:p>
    <w:p w:rsidR="001261F8" w:rsidRPr="001261F8" w:rsidRDefault="00F76921" w:rsidP="001261F8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b/>
          <w:bCs/>
        </w:rPr>
        <w:t>О</w:t>
      </w:r>
      <w:r w:rsidRPr="00342DC1">
        <w:rPr>
          <w:b/>
          <w:bCs/>
        </w:rPr>
        <w:t>бсуждение результатов</w:t>
      </w:r>
      <w:r>
        <w:rPr>
          <w:b/>
          <w:bCs/>
        </w:rPr>
        <w:t>.</w:t>
      </w:r>
      <w:r w:rsidRPr="001261F8">
        <w:rPr>
          <w:color w:val="auto"/>
        </w:rPr>
        <w:t xml:space="preserve"> </w:t>
      </w:r>
      <w:r w:rsidR="001261F8" w:rsidRPr="001261F8">
        <w:rPr>
          <w:color w:val="auto"/>
        </w:rPr>
        <w:t xml:space="preserve">По всему профилю дерновых </w:t>
      </w:r>
      <w:r w:rsidR="00935089">
        <w:rPr>
          <w:color w:val="auto"/>
        </w:rPr>
        <w:t xml:space="preserve">оподзоленных </w:t>
      </w:r>
      <w:r w:rsidR="001261F8" w:rsidRPr="001261F8">
        <w:rPr>
          <w:color w:val="auto"/>
        </w:rPr>
        <w:t xml:space="preserve">почв, глееземов, глинисто-иллювиальных черноземов и солодей </w:t>
      </w:r>
      <w:proofErr w:type="gramStart"/>
      <w:r w:rsidR="001261F8" w:rsidRPr="001261F8">
        <w:rPr>
          <w:color w:val="auto"/>
        </w:rPr>
        <w:t>западно-сибирских</w:t>
      </w:r>
      <w:proofErr w:type="gramEnd"/>
      <w:r w:rsidR="001261F8" w:rsidRPr="001261F8">
        <w:rPr>
          <w:color w:val="auto"/>
        </w:rPr>
        <w:t xml:space="preserve"> катен между содержанием форм Sr, Fe, Pb и Zn, а также крупной, мелкой пылью и илом выявлены устойчивые связи, вероятно, унаследованные от материнских пород (таблица </w:t>
      </w:r>
      <w:r w:rsidR="001261F8" w:rsidRPr="001261F8">
        <w:rPr>
          <w:color w:val="auto"/>
        </w:rPr>
        <w:fldChar w:fldCharType="begin"/>
      </w:r>
      <w:r w:rsidR="001261F8" w:rsidRPr="001261F8">
        <w:rPr>
          <w:color w:val="auto"/>
        </w:rPr>
        <w:instrText xml:space="preserve"> REF корреляции_со_свойствами_почв \h  \* MERGEFORMAT </w:instrText>
      </w:r>
      <w:r w:rsidR="001261F8" w:rsidRPr="001261F8">
        <w:rPr>
          <w:color w:val="auto"/>
        </w:rPr>
      </w:r>
      <w:r w:rsidR="001261F8" w:rsidRPr="001261F8">
        <w:rPr>
          <w:color w:val="auto"/>
        </w:rPr>
        <w:fldChar w:fldCharType="separate"/>
      </w:r>
      <w:r w:rsidRPr="00F76921">
        <w:rPr>
          <w:color w:val="auto"/>
        </w:rPr>
        <w:t>1</w:t>
      </w:r>
      <w:r w:rsidR="001261F8" w:rsidRPr="001261F8">
        <w:rPr>
          <w:color w:val="auto"/>
        </w:rPr>
        <w:fldChar w:fldCharType="end"/>
      </w:r>
      <w:r w:rsidR="001261F8" w:rsidRPr="001261F8">
        <w:rPr>
          <w:color w:val="auto"/>
        </w:rPr>
        <w:t xml:space="preserve">). Наличие </w:t>
      </w:r>
      <w:r w:rsidR="001261F8" w:rsidRPr="001261F8">
        <w:rPr>
          <w:color w:val="auto"/>
        </w:rPr>
        <w:lastRenderedPageBreak/>
        <w:t xml:space="preserve">большого количества таких корреляционных связей при сходных геохимических спектрах, возможно, косвенно отражает близость исходного состава почвообразующих пород. Выявленные ассоциации «металл –свойство» в </w:t>
      </w:r>
      <w:r w:rsidR="00483102">
        <w:rPr>
          <w:color w:val="auto"/>
        </w:rPr>
        <w:t xml:space="preserve">дерновых оподзоленных почвах и глееземах </w:t>
      </w:r>
      <w:r w:rsidR="001261F8" w:rsidRPr="001261F8">
        <w:rPr>
          <w:color w:val="auto"/>
        </w:rPr>
        <w:t>западносибирских катен практически идентичны ассоциациям в черноземах на покровных суглинках Плавского плато и Ишимской равнины, что может указывать на их возникновение в результате почвообразования, и подтверждать гипотезу о луговой стадии развития дерновых почв Тобольского материка [</w:t>
      </w:r>
      <w:r w:rsidR="00935089">
        <w:rPr>
          <w:color w:val="auto"/>
        </w:rPr>
        <w:t>1</w:t>
      </w:r>
      <w:r w:rsidR="001261F8" w:rsidRPr="001261F8">
        <w:rPr>
          <w:color w:val="auto"/>
        </w:rPr>
        <w:t>].</w:t>
      </w:r>
      <w:r w:rsidR="0069595B">
        <w:rPr>
          <w:color w:val="auto"/>
        </w:rPr>
        <w:t xml:space="preserve"> В то же время с подзолистыми, дерново-подзолистыми почвами и глееземами </w:t>
      </w:r>
      <w:proofErr w:type="spellStart"/>
      <w:r w:rsidR="0069595B">
        <w:rPr>
          <w:color w:val="auto"/>
        </w:rPr>
        <w:t>Мезенско</w:t>
      </w:r>
      <w:proofErr w:type="spellEnd"/>
      <w:r w:rsidR="0069595B">
        <w:rPr>
          <w:color w:val="auto"/>
        </w:rPr>
        <w:t>-Вычегодской равнины сходные корреляционные группы не выявлены.</w:t>
      </w:r>
    </w:p>
    <w:p w:rsidR="001261F8" w:rsidRPr="001261F8" w:rsidRDefault="001261F8" w:rsidP="001261F8">
      <w:pPr>
        <w:spacing w:after="0" w:line="360" w:lineRule="auto"/>
        <w:ind w:left="-567" w:firstLine="567"/>
        <w:jc w:val="right"/>
        <w:rPr>
          <w:rFonts w:ascii="Times New Roman" w:hAnsi="Times New Roman"/>
          <w:spacing w:val="-6"/>
          <w:sz w:val="24"/>
          <w:szCs w:val="24"/>
        </w:rPr>
      </w:pPr>
      <w:r w:rsidRPr="001261F8">
        <w:rPr>
          <w:rFonts w:ascii="Times New Roman" w:hAnsi="Times New Roman"/>
          <w:spacing w:val="-6"/>
          <w:sz w:val="24"/>
          <w:szCs w:val="24"/>
        </w:rPr>
        <w:t xml:space="preserve">Таблица </w:t>
      </w:r>
      <w:bookmarkStart w:id="0" w:name="корреляции_со_свойствами_почв"/>
      <w:r w:rsidRPr="001261F8">
        <w:rPr>
          <w:rFonts w:ascii="Times New Roman" w:hAnsi="Times New Roman"/>
          <w:spacing w:val="-6"/>
          <w:sz w:val="24"/>
          <w:szCs w:val="24"/>
        </w:rPr>
        <w:fldChar w:fldCharType="begin"/>
      </w:r>
      <w:r w:rsidRPr="001261F8">
        <w:rPr>
          <w:rFonts w:ascii="Times New Roman" w:hAnsi="Times New Roman"/>
          <w:spacing w:val="-6"/>
          <w:sz w:val="24"/>
          <w:szCs w:val="24"/>
        </w:rPr>
        <w:instrText xml:space="preserve"> SEQ Таблица \* ARABIC </w:instrText>
      </w:r>
      <w:r w:rsidRPr="001261F8">
        <w:rPr>
          <w:rFonts w:ascii="Times New Roman" w:hAnsi="Times New Roman"/>
          <w:spacing w:val="-6"/>
          <w:sz w:val="24"/>
          <w:szCs w:val="24"/>
        </w:rPr>
        <w:fldChar w:fldCharType="separate"/>
      </w:r>
      <w:r w:rsidRPr="001261F8">
        <w:rPr>
          <w:rFonts w:ascii="Times New Roman" w:hAnsi="Times New Roman"/>
          <w:noProof/>
          <w:spacing w:val="-6"/>
          <w:sz w:val="24"/>
          <w:szCs w:val="24"/>
        </w:rPr>
        <w:t>1</w:t>
      </w:r>
      <w:r w:rsidRPr="001261F8">
        <w:rPr>
          <w:rFonts w:ascii="Times New Roman" w:hAnsi="Times New Roman"/>
          <w:spacing w:val="-6"/>
          <w:sz w:val="24"/>
          <w:szCs w:val="24"/>
        </w:rPr>
        <w:fldChar w:fldCharType="end"/>
      </w:r>
      <w:bookmarkEnd w:id="0"/>
      <w:r w:rsidRPr="001261F8">
        <w:rPr>
          <w:rFonts w:ascii="Times New Roman" w:hAnsi="Times New Roman"/>
          <w:spacing w:val="-6"/>
          <w:sz w:val="24"/>
          <w:szCs w:val="24"/>
        </w:rPr>
        <w:t>.</w:t>
      </w:r>
    </w:p>
    <w:p w:rsidR="001261F8" w:rsidRPr="001261F8" w:rsidRDefault="001261F8" w:rsidP="001261F8">
      <w:pPr>
        <w:widowControl w:val="0"/>
        <w:spacing w:after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261F8">
        <w:rPr>
          <w:rFonts w:ascii="Times New Roman" w:hAnsi="Times New Roman" w:cs="Times New Roman"/>
          <w:spacing w:val="-6"/>
          <w:sz w:val="24"/>
          <w:szCs w:val="24"/>
        </w:rPr>
        <w:t>Устойчивые связи между содержанием металлов и свойствами почв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1201"/>
        <w:gridCol w:w="518"/>
        <w:gridCol w:w="570"/>
        <w:gridCol w:w="2297"/>
        <w:gridCol w:w="1837"/>
        <w:gridCol w:w="1237"/>
        <w:gridCol w:w="1337"/>
      </w:tblGrid>
      <w:tr w:rsidR="00F76921" w:rsidRPr="001261F8" w:rsidTr="00F76921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21" w:rsidRPr="001261F8" w:rsidRDefault="00F76921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261F8">
              <w:rPr>
                <w:rFonts w:ascii="Times New Roman" w:hAnsi="Times New Roman"/>
                <w:sz w:val="24"/>
                <w:szCs w:val="24"/>
              </w:rPr>
              <w:t>войства почв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21" w:rsidRPr="001261F8" w:rsidRDefault="00F76921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Фракция соединений металлов</w:t>
            </w:r>
          </w:p>
        </w:tc>
      </w:tr>
      <w:tr w:rsidR="001261F8" w:rsidRPr="001261F8" w:rsidTr="00F76921">
        <w:trPr>
          <w:trHeight w:val="255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8" w:rsidRPr="001261F8" w:rsidRDefault="001261F8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1F8" w:rsidRPr="00F76921" w:rsidRDefault="00F76921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1F8" w:rsidRPr="00F76921" w:rsidRDefault="00F76921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1F8" w:rsidRPr="00F76921" w:rsidRDefault="00F76921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F8" w:rsidRPr="00F76921" w:rsidRDefault="00F76921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8" w:rsidRPr="00F76921" w:rsidRDefault="00F76921" w:rsidP="00F00059">
            <w:pPr>
              <w:widowControl w:val="0"/>
              <w:spacing w:after="0" w:line="240" w:lineRule="auto"/>
              <w:ind w:left="-119" w:right="-8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F5</w:t>
            </w:r>
          </w:p>
        </w:tc>
      </w:tr>
      <w:tr w:rsidR="001261F8" w:rsidRPr="001261F8" w:rsidTr="00F76921">
        <w:trPr>
          <w:trHeight w:val="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F8" w:rsidRPr="001261F8" w:rsidRDefault="001261F8" w:rsidP="00F7692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61F8">
              <w:rPr>
                <w:rFonts w:ascii="Times New Roman" w:hAnsi="Times New Roman"/>
                <w:sz w:val="24"/>
                <w:szCs w:val="24"/>
              </w:rPr>
              <w:t>пыль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8" w:rsidRPr="001261F8" w:rsidRDefault="00F76921" w:rsidP="00F7692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F8" w:rsidRPr="001261F8" w:rsidRDefault="001261F8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en-US"/>
              </w:rPr>
            </w:pPr>
            <w:r w:rsidRPr="001261F8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en-US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F8" w:rsidRPr="001261F8" w:rsidRDefault="001261F8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en-US"/>
              </w:rPr>
            </w:pPr>
            <w:r w:rsidRPr="001261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Fe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F8" w:rsidRPr="001261F8" w:rsidRDefault="001261F8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1261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1F8" w:rsidRPr="001261F8" w:rsidRDefault="001261F8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1261F8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en-US"/>
              </w:rPr>
              <w:t>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F8" w:rsidRPr="001261F8" w:rsidRDefault="001261F8" w:rsidP="00F00059">
            <w:pPr>
              <w:spacing w:after="0"/>
              <w:jc w:val="center"/>
              <w:rPr>
                <w:sz w:val="24"/>
                <w:szCs w:val="24"/>
              </w:rPr>
            </w:pPr>
            <w:r w:rsidRPr="001261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261F8" w:rsidRPr="001261F8" w:rsidTr="00F76921">
        <w:trPr>
          <w:trHeight w:val="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8" w:rsidRPr="001261F8" w:rsidRDefault="001261F8" w:rsidP="00F000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8" w:rsidRPr="001261F8" w:rsidRDefault="00F76921" w:rsidP="00F7692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F8" w:rsidRPr="001261F8" w:rsidRDefault="001261F8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61F8">
              <w:rPr>
                <w:rFonts w:ascii="Times New Roman" w:hAnsi="Times New Roman" w:cs="Times New Roman"/>
                <w:b/>
                <w:i/>
                <w:noProof/>
                <w:color w:val="00B0F0"/>
                <w:sz w:val="24"/>
                <w:szCs w:val="24"/>
                <w:lang w:val="en-US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F8" w:rsidRPr="001261F8" w:rsidRDefault="001261F8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61F8">
              <w:rPr>
                <w:rFonts w:ascii="Times New Roman" w:hAnsi="Times New Roman" w:cs="Times New Roman"/>
                <w:b/>
                <w:i/>
                <w:noProof/>
                <w:color w:val="00B0F0"/>
                <w:sz w:val="24"/>
                <w:szCs w:val="24"/>
                <w:lang w:val="en-US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F8" w:rsidRPr="001261F8" w:rsidRDefault="001261F8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1261F8">
              <w:rPr>
                <w:rFonts w:ascii="Times New Roman" w:hAnsi="Times New Roman" w:cs="Times New Roman"/>
                <w:b/>
                <w:i/>
                <w:noProof/>
                <w:color w:val="00B0F0"/>
                <w:sz w:val="24"/>
                <w:szCs w:val="24"/>
                <w:lang w:val="en-US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1F8" w:rsidRPr="001261F8" w:rsidRDefault="001261F8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1261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F8" w:rsidRPr="001261F8" w:rsidRDefault="001261F8" w:rsidP="00F00059">
            <w:pPr>
              <w:spacing w:after="0"/>
              <w:jc w:val="center"/>
              <w:rPr>
                <w:sz w:val="24"/>
                <w:szCs w:val="24"/>
              </w:rPr>
            </w:pPr>
            <w:r w:rsidRPr="001261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261F8" w:rsidRPr="001261F8" w:rsidTr="00F76921">
        <w:trPr>
          <w:trHeight w:val="21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8" w:rsidRPr="001261F8" w:rsidRDefault="001261F8" w:rsidP="00F000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1F8">
              <w:rPr>
                <w:rFonts w:ascii="Times New Roman" w:hAnsi="Times New Roman"/>
                <w:sz w:val="24"/>
                <w:szCs w:val="24"/>
              </w:rPr>
              <w:t>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F8" w:rsidRPr="001261F8" w:rsidRDefault="001261F8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</w:rPr>
            </w:pPr>
            <w:r w:rsidRPr="001261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F8" w:rsidRPr="001261F8" w:rsidRDefault="001261F8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1F8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en-US"/>
              </w:rPr>
              <w:t>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F8" w:rsidRPr="001261F8" w:rsidRDefault="001261F8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noProof/>
                <w:color w:val="00B0F0"/>
                <w:sz w:val="24"/>
                <w:szCs w:val="24"/>
                <w:lang w:val="en-US"/>
              </w:rPr>
            </w:pPr>
            <w:r w:rsidRPr="001261F8">
              <w:rPr>
                <w:rFonts w:ascii="Times New Roman" w:hAnsi="Times New Roman" w:cs="Times New Roman"/>
                <w:b/>
                <w:i/>
                <w:noProof/>
                <w:color w:val="00B0F0"/>
                <w:sz w:val="24"/>
                <w:szCs w:val="24"/>
                <w:lang w:val="en-US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1F8" w:rsidRPr="001261F8" w:rsidRDefault="001261F8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1261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1F8" w:rsidRPr="001261F8" w:rsidRDefault="001261F8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</w:rPr>
            </w:pPr>
            <w:r w:rsidRPr="001261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261F8" w:rsidRPr="001261F8" w:rsidTr="00F76921">
        <w:trPr>
          <w:trHeight w:val="7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8" w:rsidRPr="001261F8" w:rsidRDefault="001261F8" w:rsidP="00F000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1F8">
              <w:rPr>
                <w:rFonts w:ascii="Times New Roman" w:hAnsi="Times New Roman"/>
                <w:sz w:val="24"/>
                <w:szCs w:val="24"/>
              </w:rPr>
              <w:t>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F8" w:rsidRPr="001261F8" w:rsidRDefault="001261F8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1261F8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u w:val="single"/>
                <w:lang w:val="en-US"/>
              </w:rPr>
              <w:t>Sr</w:t>
            </w:r>
            <w:r w:rsidRPr="001261F8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u w:val="single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F8" w:rsidRPr="001261F8" w:rsidRDefault="001261F8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1261F8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u w:val="single"/>
                <w:lang w:val="en-US"/>
              </w:rPr>
              <w:t>Fe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F8" w:rsidRPr="001261F8" w:rsidRDefault="001261F8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261F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F8" w:rsidRPr="001261F8" w:rsidRDefault="001261F8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1261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8" w:rsidRPr="001261F8" w:rsidRDefault="001261F8" w:rsidP="00F00059">
            <w:pPr>
              <w:widowControl w:val="0"/>
              <w:spacing w:after="0" w:line="240" w:lineRule="auto"/>
              <w:ind w:left="-113" w:right="-113"/>
              <w:jc w:val="center"/>
              <w:rPr>
                <w:b/>
                <w:i/>
                <w:sz w:val="24"/>
                <w:szCs w:val="24"/>
              </w:rPr>
            </w:pPr>
            <w:r w:rsidRPr="001261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Ni</w:t>
            </w:r>
          </w:p>
        </w:tc>
      </w:tr>
      <w:tr w:rsidR="001261F8" w:rsidRPr="001261F8" w:rsidTr="00F76921">
        <w:trPr>
          <w:trHeight w:val="7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8" w:rsidRPr="001261F8" w:rsidRDefault="001261F8" w:rsidP="00F00059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F8">
              <w:rPr>
                <w:rFonts w:ascii="Times New Roman" w:hAnsi="Times New Roman"/>
                <w:sz w:val="24"/>
                <w:szCs w:val="24"/>
              </w:rPr>
              <w:t>гумус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F8" w:rsidRPr="001261F8" w:rsidRDefault="001261F8" w:rsidP="00F00059">
            <w:pPr>
              <w:widowControl w:val="0"/>
              <w:spacing w:after="0" w:line="360" w:lineRule="auto"/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1261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Mn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F8" w:rsidRPr="001261F8" w:rsidRDefault="001261F8" w:rsidP="00F00059">
            <w:pPr>
              <w:widowControl w:val="0"/>
              <w:spacing w:after="0" w:line="360" w:lineRule="auto"/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61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Ni*</w:t>
            </w:r>
            <w:r w:rsidR="00F769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,</w:t>
            </w:r>
            <w:proofErr w:type="spellStart"/>
            <w:r w:rsidR="00F769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Mn,Pb,Co,</w:t>
            </w:r>
            <w:r w:rsidRPr="001261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Zn,</w:t>
            </w:r>
            <w:r w:rsidRPr="001261F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Fe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F8" w:rsidRPr="001261F8" w:rsidRDefault="00F76921" w:rsidP="00F00059">
            <w:pPr>
              <w:widowControl w:val="0"/>
              <w:spacing w:after="0" w:line="360" w:lineRule="auto"/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Mn,</w:t>
            </w:r>
            <w:r w:rsidR="001261F8" w:rsidRPr="001261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Ni,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Pb,</w:t>
            </w:r>
            <w:r w:rsidR="001261F8" w:rsidRPr="001261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Zn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,</w:t>
            </w:r>
            <w:r w:rsidR="001261F8" w:rsidRPr="001261F8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  <w:lang w:val="en-US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F8" w:rsidRPr="001261F8" w:rsidRDefault="001261F8" w:rsidP="00F00059">
            <w:pPr>
              <w:widowControl w:val="0"/>
              <w:spacing w:after="0" w:line="360" w:lineRule="auto"/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1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Zn</w:t>
            </w:r>
            <w:r w:rsidRPr="001261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*</w:t>
            </w:r>
            <w:r w:rsidR="00F769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,</w:t>
            </w:r>
            <w:proofErr w:type="spellStart"/>
            <w:r w:rsidRPr="001261F8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  <w:lang w:val="en-US"/>
              </w:rPr>
              <w:t>N</w:t>
            </w:r>
            <w:r w:rsidR="00F76921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  <w:lang w:val="en-US"/>
              </w:rPr>
              <w:t>i,</w:t>
            </w:r>
            <w:r w:rsidRPr="001261F8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  <w:lang w:val="en-US"/>
              </w:rPr>
              <w:t>Pb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8" w:rsidRPr="001261F8" w:rsidRDefault="001261F8" w:rsidP="00F00059">
            <w:pPr>
              <w:widowControl w:val="0"/>
              <w:spacing w:after="0" w:line="360" w:lineRule="auto"/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1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Zn</w:t>
            </w:r>
            <w:r w:rsidR="00F769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*,</w:t>
            </w:r>
            <w:r w:rsidRPr="001261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Mn</w:t>
            </w:r>
            <w:r w:rsidRPr="001261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vertAlign w:val="subscript"/>
              </w:rPr>
              <w:t>,</w:t>
            </w:r>
            <w:r w:rsidRPr="001261F8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en-US"/>
              </w:rPr>
              <w:t>Fe</w:t>
            </w:r>
          </w:p>
        </w:tc>
      </w:tr>
    </w:tbl>
    <w:p w:rsidR="00935089" w:rsidRDefault="00935089" w:rsidP="001261F8">
      <w:pPr>
        <w:pStyle w:val="Default"/>
        <w:spacing w:line="360" w:lineRule="auto"/>
        <w:ind w:firstLine="284"/>
        <w:jc w:val="both"/>
        <w:rPr>
          <w:color w:val="auto"/>
          <w:sz w:val="20"/>
        </w:rPr>
      </w:pPr>
    </w:p>
    <w:p w:rsidR="001261F8" w:rsidRPr="00F76921" w:rsidRDefault="00F76921" w:rsidP="001261F8">
      <w:pPr>
        <w:pStyle w:val="Default"/>
        <w:spacing w:line="360" w:lineRule="auto"/>
        <w:ind w:firstLine="284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Примечание. </w:t>
      </w:r>
      <w:r w:rsidR="001261F8" w:rsidRPr="001261F8">
        <w:rPr>
          <w:color w:val="auto"/>
          <w:sz w:val="20"/>
        </w:rPr>
        <w:t xml:space="preserve">Выделены металлы со статистически значимыми (p&gt;0,95) положительными (красный) и отрицательными (синий) значениями коэффициентов корреляции, устойчивыми в дерновых </w:t>
      </w:r>
      <w:r w:rsidR="00935089">
        <w:rPr>
          <w:color w:val="auto"/>
          <w:sz w:val="20"/>
        </w:rPr>
        <w:t xml:space="preserve">оподзоленных </w:t>
      </w:r>
      <w:r w:rsidR="001261F8" w:rsidRPr="001261F8">
        <w:rPr>
          <w:color w:val="auto"/>
          <w:sz w:val="20"/>
        </w:rPr>
        <w:t xml:space="preserve">почвах, глееземах, солодях и черноземах </w:t>
      </w:r>
      <w:proofErr w:type="gramStart"/>
      <w:r w:rsidR="001261F8" w:rsidRPr="001261F8">
        <w:rPr>
          <w:color w:val="auto"/>
          <w:sz w:val="20"/>
        </w:rPr>
        <w:t>Западно-Сибирской</w:t>
      </w:r>
      <w:proofErr w:type="gramEnd"/>
      <w:r w:rsidR="001261F8" w:rsidRPr="001261F8">
        <w:rPr>
          <w:color w:val="auto"/>
          <w:sz w:val="20"/>
        </w:rPr>
        <w:t xml:space="preserve"> равнины (полужирное выделение), в черноземах глинисто-иллювиальных Ишимской равнины и Плавского плато (подчеркнуто), во всех изученных почвах (*). Прочерк – отсутствие устойчивых ассоциаций.</w:t>
      </w:r>
      <w:r>
        <w:rPr>
          <w:color w:val="auto"/>
          <w:sz w:val="20"/>
        </w:rPr>
        <w:t xml:space="preserve"> Пыль: 1 – крупная, 2 – мелкая. Фракции соединений: </w:t>
      </w:r>
      <w:r w:rsidRPr="00F76921">
        <w:rPr>
          <w:color w:val="auto"/>
          <w:sz w:val="20"/>
        </w:rPr>
        <w:t>F1</w:t>
      </w:r>
      <w:r>
        <w:rPr>
          <w:color w:val="auto"/>
          <w:sz w:val="20"/>
        </w:rPr>
        <w:t xml:space="preserve"> – обменные</w:t>
      </w:r>
      <w:r w:rsidRPr="00F76921">
        <w:rPr>
          <w:color w:val="auto"/>
          <w:sz w:val="20"/>
        </w:rPr>
        <w:t>, F2</w:t>
      </w:r>
      <w:r>
        <w:rPr>
          <w:color w:val="auto"/>
          <w:sz w:val="20"/>
        </w:rPr>
        <w:t xml:space="preserve"> – комплексные</w:t>
      </w:r>
      <w:r w:rsidRPr="00F76921">
        <w:rPr>
          <w:color w:val="auto"/>
          <w:sz w:val="20"/>
        </w:rPr>
        <w:t>, F3</w:t>
      </w:r>
      <w:r>
        <w:rPr>
          <w:color w:val="auto"/>
          <w:sz w:val="20"/>
        </w:rPr>
        <w:t xml:space="preserve"> – </w:t>
      </w:r>
      <w:r w:rsidRPr="00F76921">
        <w:rPr>
          <w:color w:val="auto"/>
          <w:sz w:val="20"/>
        </w:rPr>
        <w:t>сорбированные гидроксидами Fe и Mn, F4</w:t>
      </w:r>
      <w:r>
        <w:rPr>
          <w:color w:val="auto"/>
          <w:sz w:val="20"/>
        </w:rPr>
        <w:t xml:space="preserve"> – прочно сорбированные (остаточная фракция)</w:t>
      </w:r>
      <w:r w:rsidRPr="00F76921">
        <w:rPr>
          <w:color w:val="auto"/>
          <w:sz w:val="20"/>
        </w:rPr>
        <w:t>, F5</w:t>
      </w:r>
      <w:r>
        <w:rPr>
          <w:color w:val="auto"/>
          <w:sz w:val="20"/>
        </w:rPr>
        <w:t xml:space="preserve"> – валовое содержание.</w:t>
      </w:r>
    </w:p>
    <w:p w:rsidR="00935089" w:rsidRDefault="00935089" w:rsidP="001261F8">
      <w:pPr>
        <w:pStyle w:val="Default"/>
        <w:spacing w:line="360" w:lineRule="auto"/>
        <w:ind w:firstLine="284"/>
        <w:jc w:val="both"/>
        <w:rPr>
          <w:color w:val="auto"/>
        </w:rPr>
      </w:pPr>
    </w:p>
    <w:p w:rsidR="001261F8" w:rsidRDefault="001261F8" w:rsidP="001261F8">
      <w:pPr>
        <w:pStyle w:val="Default"/>
        <w:spacing w:line="360" w:lineRule="auto"/>
        <w:ind w:firstLine="284"/>
        <w:jc w:val="both"/>
        <w:rPr>
          <w:color w:val="auto"/>
        </w:rPr>
      </w:pPr>
      <w:r w:rsidRPr="001261F8">
        <w:rPr>
          <w:color w:val="auto"/>
        </w:rPr>
        <w:t xml:space="preserve">Связи между содержанием металлов, а также величиной рН и гумусом, вероятно, отражают результат дифференциации элементов по профилю почв под действием почвообразовательных процессов. </w:t>
      </w:r>
      <w:proofErr w:type="spellStart"/>
      <w:r w:rsidRPr="001261F8">
        <w:rPr>
          <w:color w:val="auto"/>
        </w:rPr>
        <w:t>Гумусонакопление</w:t>
      </w:r>
      <w:proofErr w:type="spellEnd"/>
      <w:r w:rsidRPr="001261F8">
        <w:rPr>
          <w:color w:val="auto"/>
        </w:rPr>
        <w:t xml:space="preserve"> – </w:t>
      </w:r>
      <w:r w:rsidR="00A45223">
        <w:rPr>
          <w:color w:val="auto"/>
        </w:rPr>
        <w:t xml:space="preserve">единственный </w:t>
      </w:r>
      <w:r w:rsidRPr="001261F8">
        <w:rPr>
          <w:color w:val="auto"/>
        </w:rPr>
        <w:t xml:space="preserve">общий процесс, свойственный всем почвам изученных катен. С содержанием органического вещества выявлена устойчивая положительная корреляционная связь у </w:t>
      </w:r>
      <w:r w:rsidR="0069595B">
        <w:rPr>
          <w:color w:val="auto"/>
        </w:rPr>
        <w:t>комплексных соединений</w:t>
      </w:r>
      <w:r w:rsidRPr="001261F8">
        <w:rPr>
          <w:color w:val="auto"/>
        </w:rPr>
        <w:t xml:space="preserve"> Ni, </w:t>
      </w:r>
      <w:r w:rsidR="0069595B">
        <w:rPr>
          <w:color w:val="auto"/>
        </w:rPr>
        <w:t>прочно связанного</w:t>
      </w:r>
      <w:r w:rsidRPr="001261F8">
        <w:rPr>
          <w:color w:val="auto"/>
        </w:rPr>
        <w:t xml:space="preserve"> и валового Zn. С ростом рН во всех почвах увеличивается содержание обменного Sr, повышенные содержания которого в щелочной среде </w:t>
      </w:r>
      <w:r w:rsidR="00F00059">
        <w:rPr>
          <w:color w:val="auto"/>
        </w:rPr>
        <w:t xml:space="preserve">иллювиально-карбонатного </w:t>
      </w:r>
      <w:r w:rsidRPr="001261F8">
        <w:rPr>
          <w:color w:val="auto"/>
        </w:rPr>
        <w:t>горизонта объясняются накоплением выпадающего в осадок стронцианита.</w:t>
      </w:r>
    </w:p>
    <w:p w:rsidR="0069595B" w:rsidRDefault="0069595B" w:rsidP="001261F8">
      <w:pPr>
        <w:pStyle w:val="Default"/>
        <w:spacing w:line="360" w:lineRule="auto"/>
        <w:ind w:firstLine="284"/>
        <w:jc w:val="both"/>
        <w:rPr>
          <w:color w:val="auto"/>
        </w:rPr>
      </w:pPr>
      <w:r w:rsidRPr="0069595B">
        <w:rPr>
          <w:b/>
          <w:color w:val="auto"/>
        </w:rPr>
        <w:t>Заключение</w:t>
      </w:r>
      <w:r>
        <w:rPr>
          <w:color w:val="auto"/>
        </w:rPr>
        <w:t xml:space="preserve">. По корреляционным связям между содержанием металлов и свойствами почв (рН, гумус и гранулометрический состав) выявлено большее сходство исследованных таежных почв западной части Тобольского материка на озерно-аллювиальных суглинках с </w:t>
      </w:r>
      <w:r>
        <w:rPr>
          <w:color w:val="auto"/>
        </w:rPr>
        <w:lastRenderedPageBreak/>
        <w:t>черноземами глинисто-иллювиальными Ишимской равнины и Плавского плато</w:t>
      </w:r>
      <w:r w:rsidR="00935089">
        <w:rPr>
          <w:color w:val="auto"/>
        </w:rPr>
        <w:t xml:space="preserve"> на лессовидных карбонатных суглинках</w:t>
      </w:r>
      <w:r>
        <w:rPr>
          <w:color w:val="auto"/>
        </w:rPr>
        <w:t xml:space="preserve">, чем с таежными почвами </w:t>
      </w:r>
      <w:proofErr w:type="spellStart"/>
      <w:r>
        <w:rPr>
          <w:color w:val="auto"/>
        </w:rPr>
        <w:t>Мезенско</w:t>
      </w:r>
      <w:proofErr w:type="spellEnd"/>
      <w:r>
        <w:rPr>
          <w:color w:val="auto"/>
        </w:rPr>
        <w:t>-Вычегодской равни</w:t>
      </w:r>
      <w:r w:rsidR="00A45223">
        <w:rPr>
          <w:color w:val="auto"/>
        </w:rPr>
        <w:t>н</w:t>
      </w:r>
      <w:r>
        <w:rPr>
          <w:color w:val="auto"/>
        </w:rPr>
        <w:t xml:space="preserve">ы, что может </w:t>
      </w:r>
      <w:r w:rsidRPr="001261F8">
        <w:rPr>
          <w:color w:val="auto"/>
        </w:rPr>
        <w:t>подтверждать гипотезу о луговой стадии развития дерновых почв Тобольского материка</w:t>
      </w:r>
      <w:r>
        <w:rPr>
          <w:color w:val="auto"/>
        </w:rPr>
        <w:t>.</w:t>
      </w:r>
    </w:p>
    <w:p w:rsidR="0069595B" w:rsidRDefault="0069595B" w:rsidP="001261F8">
      <w:pPr>
        <w:pStyle w:val="Default"/>
        <w:spacing w:line="360" w:lineRule="auto"/>
        <w:ind w:firstLine="284"/>
        <w:jc w:val="both"/>
        <w:rPr>
          <w:color w:val="auto"/>
        </w:rPr>
      </w:pPr>
    </w:p>
    <w:p w:rsidR="009A2D1E" w:rsidRDefault="0069595B" w:rsidP="00D711FD">
      <w:pPr>
        <w:pStyle w:val="Default"/>
        <w:spacing w:line="360" w:lineRule="auto"/>
        <w:ind w:firstLine="284"/>
        <w:jc w:val="both"/>
        <w:rPr>
          <w:color w:val="auto"/>
        </w:rPr>
      </w:pPr>
      <w:r w:rsidRPr="0069595B">
        <w:rPr>
          <w:color w:val="auto"/>
        </w:rPr>
        <w:t xml:space="preserve">Полевые исследования </w:t>
      </w:r>
      <w:r>
        <w:rPr>
          <w:color w:val="auto"/>
        </w:rPr>
        <w:t xml:space="preserve">на восточно-европейских участках </w:t>
      </w:r>
      <w:r w:rsidRPr="0069595B">
        <w:rPr>
          <w:color w:val="auto"/>
        </w:rPr>
        <w:t>выполнены в рамках</w:t>
      </w:r>
      <w:r>
        <w:rPr>
          <w:color w:val="auto"/>
        </w:rPr>
        <w:t xml:space="preserve"> </w:t>
      </w:r>
      <w:r w:rsidR="00A45223">
        <w:rPr>
          <w:color w:val="auto"/>
        </w:rPr>
        <w:t>госбюджетной темы кафедры геохимии ландшафтов и географии почв (</w:t>
      </w:r>
      <w:r w:rsidR="00A45223" w:rsidRPr="00A45223">
        <w:rPr>
          <w:color w:val="auto"/>
        </w:rPr>
        <w:t>I.4 «Природные и антропогенные изменения ландшафтно-геохимических и почвенных систем»</w:t>
      </w:r>
      <w:r w:rsidR="00A45223">
        <w:rPr>
          <w:color w:val="auto"/>
        </w:rPr>
        <w:t xml:space="preserve">), </w:t>
      </w:r>
      <w:proofErr w:type="gramStart"/>
      <w:r>
        <w:rPr>
          <w:color w:val="auto"/>
        </w:rPr>
        <w:t>западно-сибирских</w:t>
      </w:r>
      <w:proofErr w:type="gramEnd"/>
      <w:r>
        <w:rPr>
          <w:color w:val="auto"/>
        </w:rPr>
        <w:t xml:space="preserve"> – </w:t>
      </w:r>
      <w:r w:rsidRPr="0069595B">
        <w:rPr>
          <w:color w:val="auto"/>
        </w:rPr>
        <w:t>Программы П</w:t>
      </w:r>
      <w:r w:rsidR="00935089">
        <w:rPr>
          <w:color w:val="auto"/>
        </w:rPr>
        <w:t>резидиума РАН № 4 (Проект 5.4). Ф</w:t>
      </w:r>
      <w:r w:rsidRPr="0069595B">
        <w:rPr>
          <w:color w:val="auto"/>
        </w:rPr>
        <w:t>орм</w:t>
      </w:r>
      <w:r w:rsidR="00935089">
        <w:rPr>
          <w:color w:val="auto"/>
        </w:rPr>
        <w:t>ы</w:t>
      </w:r>
      <w:r w:rsidRPr="0069595B">
        <w:rPr>
          <w:color w:val="auto"/>
        </w:rPr>
        <w:t xml:space="preserve"> нахождения металлов </w:t>
      </w:r>
      <w:r w:rsidR="00935089">
        <w:rPr>
          <w:color w:val="auto"/>
        </w:rPr>
        <w:t xml:space="preserve">определены за счет средств </w:t>
      </w:r>
      <w:r w:rsidR="00E81D86" w:rsidRPr="0069595B">
        <w:rPr>
          <w:color w:val="auto"/>
        </w:rPr>
        <w:t>проекта Российског</w:t>
      </w:r>
      <w:r w:rsidR="00935089">
        <w:rPr>
          <w:color w:val="auto"/>
        </w:rPr>
        <w:t>о научного фонда № 14-27-00083</w:t>
      </w:r>
      <w:r w:rsidR="00A45223">
        <w:rPr>
          <w:color w:val="auto"/>
        </w:rPr>
        <w:t>,</w:t>
      </w:r>
      <w:r w:rsidRPr="0069595B">
        <w:rPr>
          <w:color w:val="auto"/>
        </w:rPr>
        <w:t xml:space="preserve"> </w:t>
      </w:r>
      <w:r w:rsidR="00935089">
        <w:rPr>
          <w:color w:val="auto"/>
        </w:rPr>
        <w:t>результаты</w:t>
      </w:r>
      <w:r w:rsidRPr="0069595B">
        <w:rPr>
          <w:color w:val="auto"/>
        </w:rPr>
        <w:t xml:space="preserve"> </w:t>
      </w:r>
      <w:r w:rsidR="00935089">
        <w:rPr>
          <w:color w:val="auto"/>
        </w:rPr>
        <w:t>обобщены в рамках</w:t>
      </w:r>
      <w:r w:rsidRPr="0069595B">
        <w:rPr>
          <w:color w:val="auto"/>
        </w:rPr>
        <w:t xml:space="preserve"> </w:t>
      </w:r>
      <w:r w:rsidR="00E81D86">
        <w:rPr>
          <w:color w:val="auto"/>
        </w:rPr>
        <w:t xml:space="preserve">проекта </w:t>
      </w:r>
      <w:r w:rsidR="00E81D86" w:rsidRPr="0069595B">
        <w:rPr>
          <w:color w:val="auto"/>
        </w:rPr>
        <w:t>Российского научного фонда № 1</w:t>
      </w:r>
      <w:r w:rsidR="00E81D86">
        <w:rPr>
          <w:color w:val="auto"/>
        </w:rPr>
        <w:t>7</w:t>
      </w:r>
      <w:r w:rsidR="00E81D86" w:rsidRPr="0069595B">
        <w:rPr>
          <w:color w:val="auto"/>
        </w:rPr>
        <w:t>-</w:t>
      </w:r>
      <w:r w:rsidR="00E81D86">
        <w:rPr>
          <w:color w:val="auto"/>
        </w:rPr>
        <w:t>7</w:t>
      </w:r>
      <w:r w:rsidR="00E81D86" w:rsidRPr="0069595B">
        <w:rPr>
          <w:color w:val="auto"/>
        </w:rPr>
        <w:t>7-</w:t>
      </w:r>
      <w:r w:rsidR="00935089">
        <w:rPr>
          <w:color w:val="auto"/>
        </w:rPr>
        <w:t>2</w:t>
      </w:r>
      <w:r w:rsidR="00E81D86" w:rsidRPr="0069595B">
        <w:rPr>
          <w:color w:val="auto"/>
        </w:rPr>
        <w:t>00</w:t>
      </w:r>
      <w:r w:rsidR="00935089">
        <w:rPr>
          <w:color w:val="auto"/>
        </w:rPr>
        <w:t>72</w:t>
      </w:r>
      <w:r w:rsidRPr="0069595B">
        <w:rPr>
          <w:color w:val="auto"/>
        </w:rPr>
        <w:t>. Авторы благодарны Е.Ю. Зайцевой, А.О. Константинову</w:t>
      </w:r>
      <w:r w:rsidR="00A45223">
        <w:rPr>
          <w:color w:val="auto"/>
        </w:rPr>
        <w:t>,</w:t>
      </w:r>
      <w:r w:rsidRPr="0069595B">
        <w:rPr>
          <w:color w:val="auto"/>
        </w:rPr>
        <w:t xml:space="preserve"> А.Г. </w:t>
      </w:r>
      <w:proofErr w:type="spellStart"/>
      <w:r w:rsidRPr="0069595B">
        <w:rPr>
          <w:color w:val="auto"/>
        </w:rPr>
        <w:t>Самулеенкову</w:t>
      </w:r>
      <w:proofErr w:type="spellEnd"/>
      <w:r w:rsidR="00A45223">
        <w:rPr>
          <w:color w:val="auto"/>
        </w:rPr>
        <w:t xml:space="preserve"> и М.П. </w:t>
      </w:r>
      <w:proofErr w:type="spellStart"/>
      <w:r w:rsidR="00A45223">
        <w:rPr>
          <w:color w:val="auto"/>
        </w:rPr>
        <w:t>Тентюкову</w:t>
      </w:r>
      <w:proofErr w:type="spellEnd"/>
      <w:r w:rsidRPr="0069595B">
        <w:rPr>
          <w:color w:val="auto"/>
        </w:rPr>
        <w:t xml:space="preserve"> за помощь в сборе фактического материала и химико-аналитических работах.</w:t>
      </w:r>
    </w:p>
    <w:p w:rsidR="0069595B" w:rsidRDefault="0069595B" w:rsidP="00D711FD">
      <w:pPr>
        <w:pStyle w:val="Default"/>
        <w:spacing w:line="360" w:lineRule="auto"/>
        <w:ind w:firstLine="284"/>
        <w:jc w:val="both"/>
        <w:rPr>
          <w:color w:val="auto"/>
        </w:rPr>
      </w:pPr>
    </w:p>
    <w:p w:rsidR="00D711FD" w:rsidRPr="00A06E2C" w:rsidRDefault="00D711FD" w:rsidP="00D711FD">
      <w:pPr>
        <w:pStyle w:val="Default"/>
        <w:spacing w:line="360" w:lineRule="auto"/>
        <w:jc w:val="center"/>
        <w:rPr>
          <w:color w:val="auto"/>
        </w:rPr>
      </w:pPr>
      <w:r w:rsidRPr="00A06E2C">
        <w:rPr>
          <w:b/>
          <w:bCs/>
          <w:color w:val="auto"/>
        </w:rPr>
        <w:t>Литература</w:t>
      </w:r>
    </w:p>
    <w:p w:rsidR="00483102" w:rsidRDefault="00D711FD" w:rsidP="00D711FD">
      <w:pPr>
        <w:pStyle w:val="Default"/>
        <w:spacing w:line="360" w:lineRule="auto"/>
        <w:jc w:val="both"/>
        <w:rPr>
          <w:color w:val="auto"/>
        </w:rPr>
      </w:pPr>
      <w:r w:rsidRPr="00A06E2C">
        <w:rPr>
          <w:color w:val="auto"/>
        </w:rPr>
        <w:t xml:space="preserve">1. </w:t>
      </w:r>
      <w:r w:rsidR="00483102">
        <w:rPr>
          <w:color w:val="auto"/>
        </w:rPr>
        <w:t>Гаджиев</w:t>
      </w:r>
      <w:r w:rsidR="00935089">
        <w:rPr>
          <w:color w:val="auto"/>
        </w:rPr>
        <w:t xml:space="preserve"> И.М. Эволюция почв южной тайги Западной Сибири. Новосибирск: Наука</w:t>
      </w:r>
      <w:r w:rsidR="00483102">
        <w:rPr>
          <w:color w:val="auto"/>
        </w:rPr>
        <w:t>, 1982</w:t>
      </w:r>
      <w:r w:rsidR="00935089">
        <w:rPr>
          <w:color w:val="auto"/>
        </w:rPr>
        <w:t>. 455 с.</w:t>
      </w:r>
    </w:p>
    <w:p w:rsidR="00483102" w:rsidRDefault="00483102" w:rsidP="00D711FD">
      <w:pPr>
        <w:pStyle w:val="Default"/>
        <w:spacing w:line="360" w:lineRule="auto"/>
        <w:jc w:val="both"/>
        <w:rPr>
          <w:color w:val="auto"/>
        </w:rPr>
      </w:pPr>
      <w:r w:rsidRPr="00935089">
        <w:rPr>
          <w:color w:val="auto"/>
        </w:rPr>
        <w:t>2. Пономарева</w:t>
      </w:r>
      <w:r w:rsidR="00935089" w:rsidRPr="00935089">
        <w:rPr>
          <w:color w:val="auto"/>
        </w:rPr>
        <w:t xml:space="preserve"> В.В.</w:t>
      </w:r>
      <w:r w:rsidRPr="00935089">
        <w:rPr>
          <w:color w:val="auto"/>
        </w:rPr>
        <w:t>, Плотникова</w:t>
      </w:r>
      <w:r w:rsidR="00935089" w:rsidRPr="00935089">
        <w:rPr>
          <w:color w:val="auto"/>
        </w:rPr>
        <w:t xml:space="preserve"> Т.А. Гумус и почвообразование. Л.: Наука,</w:t>
      </w:r>
      <w:r w:rsidRPr="00935089">
        <w:rPr>
          <w:color w:val="auto"/>
        </w:rPr>
        <w:t xml:space="preserve"> 1980</w:t>
      </w:r>
      <w:r w:rsidR="00935089">
        <w:rPr>
          <w:color w:val="auto"/>
        </w:rPr>
        <w:t>. 220 с.</w:t>
      </w:r>
    </w:p>
    <w:p w:rsidR="0069595B" w:rsidRDefault="00483102" w:rsidP="00D711F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3. </w:t>
      </w:r>
      <w:proofErr w:type="spellStart"/>
      <w:r w:rsidR="0069595B">
        <w:rPr>
          <w:color w:val="auto"/>
        </w:rPr>
        <w:t>Таргульян</w:t>
      </w:r>
      <w:proofErr w:type="spellEnd"/>
      <w:r w:rsidR="0069595B">
        <w:rPr>
          <w:color w:val="auto"/>
        </w:rPr>
        <w:t xml:space="preserve"> В.О., Соколов И. А. Структурный и функциональный подход к почве: почва-память и почва-момент // Математическое моделирование в экологии. М.: Наука, 1978. С. 17 – 33.</w:t>
      </w:r>
    </w:p>
    <w:p w:rsidR="0069595B" w:rsidRDefault="00935089" w:rsidP="00D711FD">
      <w:pPr>
        <w:pStyle w:val="Default"/>
        <w:spacing w:line="360" w:lineRule="auto"/>
        <w:jc w:val="both"/>
        <w:rPr>
          <w:color w:val="auto"/>
        </w:rPr>
      </w:pPr>
      <w:r w:rsidRPr="00935089">
        <w:rPr>
          <w:color w:val="auto"/>
        </w:rPr>
        <w:t xml:space="preserve">4. </w:t>
      </w:r>
      <w:r w:rsidRPr="00935089">
        <w:rPr>
          <w:noProof/>
          <w:spacing w:val="-6"/>
          <w:lang w:eastAsia="en-US"/>
        </w:rPr>
        <w:t>Минкина Т.М., Мотузова Г.В., Назаренко О.Г. Состав и соединения тяжелых металлов в</w:t>
      </w:r>
      <w:r w:rsidRPr="00E2178C">
        <w:rPr>
          <w:noProof/>
          <w:spacing w:val="-6"/>
          <w:lang w:eastAsia="en-US"/>
        </w:rPr>
        <w:t xml:space="preserve"> почвах. Р. на/Д: Эверест, 2009. 208 с.</w:t>
      </w:r>
    </w:p>
    <w:p w:rsidR="00D711FD" w:rsidRDefault="00D711FD" w:rsidP="00D711FD">
      <w:pPr>
        <w:pStyle w:val="Default"/>
        <w:rPr>
          <w:color w:val="auto"/>
        </w:rPr>
      </w:pPr>
    </w:p>
    <w:p w:rsidR="002B4E64" w:rsidRPr="002B4E64" w:rsidRDefault="002B4E64" w:rsidP="002B4E64">
      <w:pPr>
        <w:pStyle w:val="Default"/>
        <w:jc w:val="center"/>
        <w:rPr>
          <w:b/>
          <w:bCs/>
          <w:color w:val="auto"/>
          <w:lang w:val="en-US"/>
        </w:rPr>
      </w:pPr>
      <w:r w:rsidRPr="002B4E64">
        <w:rPr>
          <w:b/>
          <w:bCs/>
          <w:color w:val="auto"/>
          <w:lang w:val="en-US"/>
        </w:rPr>
        <w:t>IS THE MATTER OF THE SOIL-GEOCHEMICAL STRUCTURE OF KATENAE</w:t>
      </w:r>
      <w:r>
        <w:rPr>
          <w:b/>
          <w:bCs/>
          <w:color w:val="auto"/>
          <w:lang w:val="en-US"/>
        </w:rPr>
        <w:t xml:space="preserve"> OF THE TOBOL</w:t>
      </w:r>
      <w:r w:rsidRPr="002B4E64">
        <w:rPr>
          <w:b/>
          <w:bCs/>
          <w:color w:val="auto"/>
          <w:lang w:val="en-US"/>
        </w:rPr>
        <w:t xml:space="preserve">, ISHIM </w:t>
      </w:r>
      <w:r>
        <w:rPr>
          <w:b/>
          <w:bCs/>
          <w:color w:val="auto"/>
          <w:lang w:val="en-US"/>
        </w:rPr>
        <w:t>UPLAND</w:t>
      </w:r>
      <w:r w:rsidRPr="002B4E64">
        <w:rPr>
          <w:b/>
          <w:bCs/>
          <w:color w:val="auto"/>
          <w:lang w:val="en-US"/>
        </w:rPr>
        <w:t xml:space="preserve"> AND THE PLAV</w:t>
      </w:r>
      <w:r>
        <w:rPr>
          <w:b/>
          <w:bCs/>
          <w:color w:val="auto"/>
          <w:lang w:val="en-US"/>
        </w:rPr>
        <w:t>SK</w:t>
      </w:r>
      <w:r w:rsidRPr="002B4E64">
        <w:rPr>
          <w:b/>
          <w:bCs/>
          <w:color w:val="auto"/>
          <w:lang w:val="en-US"/>
        </w:rPr>
        <w:t xml:space="preserve"> PLATO?</w:t>
      </w:r>
    </w:p>
    <w:p w:rsidR="00D711FD" w:rsidRPr="007122A6" w:rsidRDefault="00D711FD" w:rsidP="00D711FD">
      <w:pPr>
        <w:pStyle w:val="Default"/>
        <w:jc w:val="center"/>
        <w:rPr>
          <w:color w:val="auto"/>
          <w:lang w:val="en-US"/>
        </w:rPr>
      </w:pPr>
      <w:r w:rsidRPr="00A06E2C">
        <w:rPr>
          <w:color w:val="auto"/>
          <w:lang w:val="en-US"/>
        </w:rPr>
        <w:t>I.</w:t>
      </w:r>
      <w:r w:rsidR="002B4E64">
        <w:rPr>
          <w:color w:val="auto"/>
          <w:lang w:val="en-US"/>
        </w:rPr>
        <w:t>N</w:t>
      </w:r>
      <w:r w:rsidRPr="00A06E2C">
        <w:rPr>
          <w:color w:val="auto"/>
          <w:lang w:val="en-US"/>
        </w:rPr>
        <w:t xml:space="preserve">. </w:t>
      </w:r>
      <w:proofErr w:type="spellStart"/>
      <w:r w:rsidR="002B4E64">
        <w:rPr>
          <w:color w:val="auto"/>
          <w:lang w:val="en-US"/>
        </w:rPr>
        <w:t>Semenkov</w:t>
      </w:r>
      <w:proofErr w:type="spellEnd"/>
    </w:p>
    <w:p w:rsidR="00D711FD" w:rsidRDefault="00D711FD" w:rsidP="00D711FD">
      <w:pPr>
        <w:pStyle w:val="Default"/>
        <w:jc w:val="center"/>
        <w:rPr>
          <w:color w:val="auto"/>
          <w:lang w:val="en-US"/>
        </w:rPr>
      </w:pPr>
    </w:p>
    <w:p w:rsidR="002B4E64" w:rsidRPr="002B4E64" w:rsidRDefault="002B4E64" w:rsidP="00D711FD">
      <w:pPr>
        <w:pStyle w:val="Default"/>
        <w:jc w:val="center"/>
        <w:rPr>
          <w:color w:val="auto"/>
          <w:lang w:val="en-US"/>
        </w:rPr>
      </w:pPr>
      <w:proofErr w:type="spellStart"/>
      <w:r w:rsidRPr="002B4E64">
        <w:rPr>
          <w:color w:val="auto"/>
          <w:lang w:val="en-US"/>
        </w:rPr>
        <w:t>Lomonosov</w:t>
      </w:r>
      <w:proofErr w:type="spellEnd"/>
      <w:r w:rsidRPr="002B4E64">
        <w:rPr>
          <w:color w:val="auto"/>
          <w:lang w:val="en-US"/>
        </w:rPr>
        <w:t xml:space="preserve"> Moscow State University, Geography department, Moscow, ivan.from.murygino@yandex.ru</w:t>
      </w:r>
    </w:p>
    <w:p w:rsidR="00D711FD" w:rsidRPr="002B4E64" w:rsidRDefault="00D711FD" w:rsidP="00D711FD">
      <w:pPr>
        <w:pStyle w:val="Default"/>
        <w:jc w:val="center"/>
        <w:rPr>
          <w:color w:val="auto"/>
          <w:lang w:val="en-US"/>
        </w:rPr>
      </w:pPr>
    </w:p>
    <w:p w:rsidR="002B4E64" w:rsidRPr="002B4E64" w:rsidRDefault="002B4E64" w:rsidP="00D711F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4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Correlation relations between the content of metals (Fe, Mn, Pb, Co, Ni, Zn, Cu, Cr and Sr) and the properties of soils (pH, humus and </w:t>
      </w:r>
      <w:proofErr w:type="spellStart"/>
      <w:r w:rsidRPr="002B4E64">
        <w:rPr>
          <w:rFonts w:ascii="Times New Roman" w:hAnsi="Times New Roman" w:cs="Times New Roman"/>
          <w:i/>
          <w:sz w:val="24"/>
          <w:szCs w:val="24"/>
          <w:lang w:val="en-US"/>
        </w:rPr>
        <w:t>granulometric</w:t>
      </w:r>
      <w:proofErr w:type="spellEnd"/>
      <w:r w:rsidRPr="002B4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fractions content) </w:t>
      </w:r>
      <w:proofErr w:type="gramStart"/>
      <w:r w:rsidRPr="002B4E64">
        <w:rPr>
          <w:rFonts w:ascii="Times New Roman" w:hAnsi="Times New Roman" w:cs="Times New Roman"/>
          <w:i/>
          <w:sz w:val="24"/>
          <w:szCs w:val="24"/>
          <w:lang w:val="en-US"/>
        </w:rPr>
        <w:t>were studied</w:t>
      </w:r>
      <w:proofErr w:type="gramEnd"/>
      <w:r w:rsidRPr="002B4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 soils of the taiga, </w:t>
      </w:r>
      <w:proofErr w:type="spellStart"/>
      <w:r w:rsidRPr="002B4E64">
        <w:rPr>
          <w:rFonts w:ascii="Times New Roman" w:hAnsi="Times New Roman" w:cs="Times New Roman"/>
          <w:i/>
          <w:sz w:val="24"/>
          <w:szCs w:val="24"/>
          <w:lang w:val="en-US"/>
        </w:rPr>
        <w:t>podtaiga</w:t>
      </w:r>
      <w:proofErr w:type="spellEnd"/>
      <w:r w:rsidRPr="002B4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forest-steppe catenae of the East European and West Siberian Plains. The similarity of the soil-geochemical structure of the taiga catenae of the western part of the </w:t>
      </w:r>
      <w:proofErr w:type="spellStart"/>
      <w:r w:rsidRPr="002B4E64">
        <w:rPr>
          <w:rFonts w:ascii="Times New Roman" w:hAnsi="Times New Roman" w:cs="Times New Roman"/>
          <w:i/>
          <w:sz w:val="24"/>
          <w:szCs w:val="24"/>
          <w:lang w:val="en-US"/>
        </w:rPr>
        <w:t>Tobol'sk</w:t>
      </w:r>
      <w:proofErr w:type="spellEnd"/>
      <w:r w:rsidRPr="002B4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upland with </w:t>
      </w:r>
      <w:proofErr w:type="spellStart"/>
      <w:r w:rsidRPr="002B4E64">
        <w:rPr>
          <w:rFonts w:ascii="Times New Roman" w:hAnsi="Times New Roman" w:cs="Times New Roman"/>
          <w:i/>
          <w:sz w:val="24"/>
          <w:szCs w:val="24"/>
          <w:lang w:val="en-US"/>
        </w:rPr>
        <w:t>podtaiga</w:t>
      </w:r>
      <w:proofErr w:type="spellEnd"/>
      <w:r w:rsidRPr="002B4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forest-steppe catenae of the Ishim Plain and the </w:t>
      </w:r>
      <w:proofErr w:type="spellStart"/>
      <w:r w:rsidRPr="002B4E64">
        <w:rPr>
          <w:rFonts w:ascii="Times New Roman" w:hAnsi="Times New Roman" w:cs="Times New Roman"/>
          <w:i/>
          <w:sz w:val="24"/>
          <w:szCs w:val="24"/>
          <w:lang w:val="en-US"/>
        </w:rPr>
        <w:t>Plavsk</w:t>
      </w:r>
      <w:proofErr w:type="spellEnd"/>
      <w:r w:rsidRPr="002B4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Plateau </w:t>
      </w:r>
      <w:proofErr w:type="gramStart"/>
      <w:r w:rsidRPr="002B4E64">
        <w:rPr>
          <w:rFonts w:ascii="Times New Roman" w:hAnsi="Times New Roman" w:cs="Times New Roman"/>
          <w:i/>
          <w:sz w:val="24"/>
          <w:szCs w:val="24"/>
          <w:lang w:val="en-US"/>
        </w:rPr>
        <w:t>is revealed</w:t>
      </w:r>
      <w:proofErr w:type="gramEnd"/>
      <w:r w:rsidRPr="002B4E6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D711FD" w:rsidRPr="00D711FD" w:rsidRDefault="00D711FD" w:rsidP="002B4E64">
      <w:pPr>
        <w:ind w:firstLine="284"/>
        <w:rPr>
          <w:lang w:val="en-US"/>
        </w:rPr>
      </w:pPr>
      <w:r w:rsidRPr="002B4E64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2B4E64">
        <w:rPr>
          <w:rFonts w:ascii="Times New Roman" w:hAnsi="Times New Roman" w:cs="Times New Roman"/>
          <w:sz w:val="24"/>
          <w:szCs w:val="24"/>
          <w:lang w:val="en-US"/>
        </w:rPr>
        <w:t>eywords</w:t>
      </w:r>
      <w:proofErr w:type="spellEnd"/>
      <w:r w:rsidRPr="002B4E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B4E64" w:rsidRPr="002B4E64">
        <w:rPr>
          <w:rFonts w:ascii="Times New Roman" w:hAnsi="Times New Roman" w:cs="Times New Roman"/>
          <w:sz w:val="24"/>
          <w:szCs w:val="24"/>
          <w:lang w:val="en-US"/>
        </w:rPr>
        <w:t>heavy metals, mobile compounds, evolution of the soil cover, "soil-memory", catena, humus accumulation</w:t>
      </w:r>
      <w:r w:rsidRPr="002B4E64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1" w:name="_GoBack"/>
      <w:bookmarkEnd w:id="1"/>
    </w:p>
    <w:sectPr w:rsidR="00D711FD" w:rsidRPr="00D7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52" w:rsidRDefault="00E33552" w:rsidP="00F76921">
      <w:pPr>
        <w:spacing w:after="0" w:line="240" w:lineRule="auto"/>
      </w:pPr>
      <w:r>
        <w:separator/>
      </w:r>
    </w:p>
  </w:endnote>
  <w:endnote w:type="continuationSeparator" w:id="0">
    <w:p w:rsidR="00E33552" w:rsidRDefault="00E33552" w:rsidP="00F7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52" w:rsidRDefault="00E33552" w:rsidP="00F76921">
      <w:pPr>
        <w:spacing w:after="0" w:line="240" w:lineRule="auto"/>
      </w:pPr>
      <w:r>
        <w:separator/>
      </w:r>
    </w:p>
  </w:footnote>
  <w:footnote w:type="continuationSeparator" w:id="0">
    <w:p w:rsidR="00E33552" w:rsidRDefault="00E33552" w:rsidP="00F76921">
      <w:pPr>
        <w:spacing w:after="0" w:line="240" w:lineRule="auto"/>
      </w:pPr>
      <w:r>
        <w:continuationSeparator/>
      </w:r>
    </w:p>
  </w:footnote>
  <w:footnote w:id="1">
    <w:p w:rsidR="00F00059" w:rsidRPr="00055572" w:rsidRDefault="00F00059" w:rsidP="0069595B">
      <w:pPr>
        <w:pStyle w:val="a4"/>
        <w:ind w:firstLine="0"/>
      </w:pPr>
      <w:r>
        <w:rPr>
          <w:rStyle w:val="a6"/>
        </w:rPr>
        <w:footnoteRef/>
      </w:r>
      <w:r>
        <w:t xml:space="preserve"> </w:t>
      </w:r>
      <w:r w:rsidRPr="00EC221A">
        <w:rPr>
          <w:lang w:val="ru-RU"/>
        </w:rPr>
        <w:t>В ИГЕМ РАН</w:t>
      </w:r>
      <w:r>
        <w:rPr>
          <w:lang w:val="ru-RU"/>
        </w:rPr>
        <w:t>. Аналитик А.И. Якушев</w:t>
      </w:r>
    </w:p>
  </w:footnote>
  <w:footnote w:id="2">
    <w:p w:rsidR="00F00059" w:rsidRPr="00205ADF" w:rsidRDefault="00F00059" w:rsidP="0069595B">
      <w:pPr>
        <w:pStyle w:val="a4"/>
        <w:ind w:firstLine="0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 xml:space="preserve">Во </w:t>
      </w:r>
      <w:r w:rsidRPr="00205ADF">
        <w:rPr>
          <w:lang w:val="ru-RU"/>
        </w:rPr>
        <w:t>Всероссийском институте анализа минерального сырья (ВИМС) имени Н.М. Федоровского</w:t>
      </w:r>
      <w:r>
        <w:rPr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8E"/>
    <w:rsid w:val="001261F8"/>
    <w:rsid w:val="002B4E64"/>
    <w:rsid w:val="002D3439"/>
    <w:rsid w:val="00360AEA"/>
    <w:rsid w:val="004348F5"/>
    <w:rsid w:val="00483102"/>
    <w:rsid w:val="0049398E"/>
    <w:rsid w:val="0069595B"/>
    <w:rsid w:val="006F5FE4"/>
    <w:rsid w:val="00935089"/>
    <w:rsid w:val="009A2D1E"/>
    <w:rsid w:val="00A45223"/>
    <w:rsid w:val="00B44DC0"/>
    <w:rsid w:val="00D711FD"/>
    <w:rsid w:val="00D73F63"/>
    <w:rsid w:val="00E33552"/>
    <w:rsid w:val="00E710CB"/>
    <w:rsid w:val="00E81D86"/>
    <w:rsid w:val="00ED3E36"/>
    <w:rsid w:val="00F00059"/>
    <w:rsid w:val="00F0401C"/>
    <w:rsid w:val="00F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9A121-58E1-4810-9931-20E956EA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11FD"/>
    <w:rPr>
      <w:color w:val="0000FF"/>
      <w:u w:val="single"/>
    </w:rPr>
  </w:style>
  <w:style w:type="paragraph" w:customStyle="1" w:styleId="Default">
    <w:name w:val="Default"/>
    <w:rsid w:val="00D711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aliases w:val="Знак"/>
    <w:basedOn w:val="a"/>
    <w:link w:val="a5"/>
    <w:uiPriority w:val="99"/>
    <w:rsid w:val="00F76921"/>
    <w:pPr>
      <w:spacing w:after="0" w:line="480" w:lineRule="auto"/>
      <w:ind w:right="-567" w:firstLine="567"/>
      <w:jc w:val="both"/>
    </w:pPr>
    <w:rPr>
      <w:rFonts w:ascii="Times New Roman" w:eastAsia="Times New Roman" w:hAnsi="Times New Roman" w:cs="Times New Roman"/>
      <w:noProof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F76921"/>
    <w:rPr>
      <w:rFonts w:ascii="Times New Roman" w:eastAsia="Times New Roman" w:hAnsi="Times New Roman" w:cs="Times New Roman"/>
      <w:noProof/>
      <w:sz w:val="20"/>
      <w:szCs w:val="20"/>
      <w:lang w:val="x-none"/>
    </w:rPr>
  </w:style>
  <w:style w:type="character" w:styleId="a6">
    <w:name w:val="footnote reference"/>
    <w:rsid w:val="00F7692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4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2017-05-14T20:30:00Z</dcterms:created>
  <dcterms:modified xsi:type="dcterms:W3CDTF">2017-09-12T18:51:00Z</dcterms:modified>
</cp:coreProperties>
</file>