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C6" w:rsidRDefault="002128C6" w:rsidP="003720A1">
      <w:pPr>
        <w:jc w:val="center"/>
        <w:rPr>
          <w:rFonts w:ascii="Times New Roman" w:hAnsi="Times New Roman" w:cs="Times New Roman"/>
          <w:b/>
          <w:sz w:val="28"/>
          <w:szCs w:val="28"/>
        </w:rPr>
      </w:pPr>
    </w:p>
    <w:p w:rsidR="002128C6" w:rsidRPr="00183C7D" w:rsidRDefault="00183C7D" w:rsidP="003720A1">
      <w:pPr>
        <w:jc w:val="center"/>
        <w:rPr>
          <w:rFonts w:ascii="Times New Roman" w:hAnsi="Times New Roman" w:cs="Times New Roman"/>
          <w:i/>
          <w:sz w:val="28"/>
          <w:szCs w:val="28"/>
        </w:rPr>
      </w:pPr>
      <w:r w:rsidRPr="00183C7D">
        <w:rPr>
          <w:rFonts w:ascii="Times New Roman" w:hAnsi="Times New Roman" w:cs="Times New Roman"/>
          <w:i/>
          <w:sz w:val="28"/>
          <w:szCs w:val="28"/>
        </w:rPr>
        <w:t xml:space="preserve">В.В. </w:t>
      </w:r>
      <w:proofErr w:type="spellStart"/>
      <w:r w:rsidRPr="00183C7D">
        <w:rPr>
          <w:rFonts w:ascii="Times New Roman" w:hAnsi="Times New Roman" w:cs="Times New Roman"/>
          <w:i/>
          <w:sz w:val="28"/>
          <w:szCs w:val="28"/>
        </w:rPr>
        <w:t>Ивантер</w:t>
      </w:r>
      <w:proofErr w:type="spellEnd"/>
      <w:r w:rsidRPr="00183C7D">
        <w:rPr>
          <w:rFonts w:ascii="Times New Roman" w:hAnsi="Times New Roman" w:cs="Times New Roman"/>
          <w:i/>
          <w:sz w:val="28"/>
          <w:szCs w:val="28"/>
        </w:rPr>
        <w:t>, Б.Н. Порфирьев, А.А. Широв</w:t>
      </w:r>
      <w:r w:rsidR="00D11EE1">
        <w:rPr>
          <w:rStyle w:val="FootnoteReference"/>
          <w:rFonts w:ascii="Times New Roman" w:hAnsi="Times New Roman" w:cs="Times New Roman"/>
          <w:i/>
          <w:sz w:val="28"/>
          <w:szCs w:val="28"/>
        </w:rPr>
        <w:footnoteReference w:id="1"/>
      </w:r>
    </w:p>
    <w:p w:rsidR="003720A1" w:rsidRPr="00370AAD" w:rsidRDefault="00370AAD" w:rsidP="003720A1">
      <w:pPr>
        <w:jc w:val="center"/>
        <w:rPr>
          <w:rFonts w:ascii="Times New Roman" w:hAnsi="Times New Roman" w:cs="Times New Roman"/>
          <w:b/>
          <w:sz w:val="28"/>
          <w:szCs w:val="28"/>
        </w:rPr>
      </w:pPr>
      <w:r w:rsidRPr="00370AAD">
        <w:rPr>
          <w:rFonts w:ascii="Times New Roman" w:hAnsi="Times New Roman" w:cs="Times New Roman"/>
          <w:b/>
          <w:sz w:val="28"/>
          <w:szCs w:val="28"/>
        </w:rPr>
        <w:t>Структурные аспекты долгосрочной экономической политики</w:t>
      </w:r>
    </w:p>
    <w:p w:rsidR="00571233" w:rsidRPr="00184F0B" w:rsidRDefault="00571233" w:rsidP="00571233">
      <w:pPr>
        <w:spacing w:after="120" w:line="360" w:lineRule="auto"/>
        <w:ind w:firstLine="567"/>
        <w:jc w:val="both"/>
        <w:rPr>
          <w:rFonts w:ascii="Times New Roman" w:hAnsi="Times New Roman" w:cs="Times New Roman"/>
          <w:sz w:val="28"/>
          <w:szCs w:val="28"/>
        </w:rPr>
      </w:pPr>
      <w:r w:rsidRPr="00184F0B">
        <w:rPr>
          <w:rFonts w:ascii="Times New Roman" w:hAnsi="Times New Roman" w:cs="Times New Roman"/>
          <w:sz w:val="28"/>
          <w:szCs w:val="28"/>
        </w:rPr>
        <w:t>Необходимость изменения модели функционирования экономики через систему структурных реформ декларируется в документах многих экономических групп, пытающихся  сформировать архитектуру долгосрочной экономической политики в России. Об этом говориться так часто, что многие перестали задумываться над тем, что же такое «структурные реформы» и на достижение каких целей они направлены. Ясно лишь одно – это радикальное средство, которое</w:t>
      </w:r>
      <w:r w:rsidR="00184F0B">
        <w:rPr>
          <w:rFonts w:ascii="Times New Roman" w:hAnsi="Times New Roman" w:cs="Times New Roman"/>
          <w:sz w:val="28"/>
          <w:szCs w:val="28"/>
        </w:rPr>
        <w:t xml:space="preserve"> должно</w:t>
      </w:r>
      <w:r w:rsidRPr="00184F0B">
        <w:rPr>
          <w:rFonts w:ascii="Times New Roman" w:hAnsi="Times New Roman" w:cs="Times New Roman"/>
          <w:sz w:val="28"/>
          <w:szCs w:val="28"/>
        </w:rPr>
        <w:t xml:space="preserve"> позволить качественно изменить механизмы экономического развития. В </w:t>
      </w:r>
      <w:r w:rsidR="00184F0B">
        <w:rPr>
          <w:rFonts w:ascii="Times New Roman" w:hAnsi="Times New Roman" w:cs="Times New Roman"/>
          <w:sz w:val="28"/>
          <w:szCs w:val="28"/>
        </w:rPr>
        <w:t>этой связи</w:t>
      </w:r>
      <w:r w:rsidRPr="00184F0B">
        <w:rPr>
          <w:rFonts w:ascii="Times New Roman" w:hAnsi="Times New Roman" w:cs="Times New Roman"/>
          <w:sz w:val="28"/>
          <w:szCs w:val="28"/>
        </w:rPr>
        <w:t>, основной характер предлагаемых реформ лежит в плоскости перераспределения доходов между ключевыми экономическими агентами бизнесом, государством и населением</w:t>
      </w:r>
      <w:r w:rsidR="00B85067" w:rsidRPr="00184F0B">
        <w:rPr>
          <w:rFonts w:ascii="Times New Roman" w:hAnsi="Times New Roman" w:cs="Times New Roman"/>
          <w:sz w:val="28"/>
          <w:szCs w:val="28"/>
        </w:rPr>
        <w:t>, а основными механизмами такого перераспределения должны стать параметры денежно-кредитной, налоговой, бюджетной политики, пенсионной системы. Таким образом, в текущем контексте под структурными реформами понимается набор мер экономической политики, направленных на изменение ключевых макроэкономических пропорций.</w:t>
      </w:r>
    </w:p>
    <w:p w:rsidR="00B85067" w:rsidRPr="00184F0B" w:rsidRDefault="00B85067" w:rsidP="00571233">
      <w:pPr>
        <w:spacing w:after="120" w:line="360" w:lineRule="auto"/>
        <w:ind w:firstLine="567"/>
        <w:jc w:val="both"/>
        <w:rPr>
          <w:rFonts w:ascii="Times New Roman" w:hAnsi="Times New Roman" w:cs="Times New Roman"/>
          <w:sz w:val="28"/>
          <w:szCs w:val="28"/>
        </w:rPr>
      </w:pPr>
      <w:r w:rsidRPr="00184F0B">
        <w:rPr>
          <w:rFonts w:ascii="Times New Roman" w:hAnsi="Times New Roman" w:cs="Times New Roman"/>
          <w:sz w:val="28"/>
          <w:szCs w:val="28"/>
        </w:rPr>
        <w:t xml:space="preserve">Ограничение структурной политики вопросами перераспределения ресурсов на макроэкономическом уровне основывается, преимущественно, на мировом опыте. Действительно, в ряде развитых стран под структурной политикой, прежде всего, понимается набор мер общего макроэкономического характера и этому есть вполне логичное объяснение. Дело в том, что </w:t>
      </w:r>
      <w:r w:rsidR="00360167" w:rsidRPr="00184F0B">
        <w:rPr>
          <w:rFonts w:ascii="Times New Roman" w:hAnsi="Times New Roman" w:cs="Times New Roman"/>
          <w:sz w:val="28"/>
          <w:szCs w:val="28"/>
        </w:rPr>
        <w:t>на протяжении длительного промежутка времени в развитых странах не прои</w:t>
      </w:r>
      <w:r w:rsidR="00012F69">
        <w:rPr>
          <w:rFonts w:ascii="Times New Roman" w:hAnsi="Times New Roman" w:cs="Times New Roman"/>
          <w:sz w:val="28"/>
          <w:szCs w:val="28"/>
        </w:rPr>
        <w:t>сходил</w:t>
      </w:r>
      <w:r w:rsidR="00360167" w:rsidRPr="00184F0B">
        <w:rPr>
          <w:rFonts w:ascii="Times New Roman" w:hAnsi="Times New Roman" w:cs="Times New Roman"/>
          <w:sz w:val="28"/>
          <w:szCs w:val="28"/>
        </w:rPr>
        <w:t>о существенных трансформаций в отраслевой структуре производства, что позволяло сконцентрировать внимание</w:t>
      </w:r>
      <w:r w:rsidR="00012F69">
        <w:rPr>
          <w:rFonts w:ascii="Times New Roman" w:hAnsi="Times New Roman" w:cs="Times New Roman"/>
          <w:sz w:val="28"/>
          <w:szCs w:val="28"/>
        </w:rPr>
        <w:t xml:space="preserve"> </w:t>
      </w:r>
      <w:r w:rsidR="00012F69">
        <w:rPr>
          <w:rFonts w:ascii="Times New Roman" w:hAnsi="Times New Roman" w:cs="Times New Roman"/>
          <w:sz w:val="28"/>
          <w:szCs w:val="28"/>
        </w:rPr>
        <w:lastRenderedPageBreak/>
        <w:t>экономических властей</w:t>
      </w:r>
      <w:r w:rsidR="00360167" w:rsidRPr="00184F0B">
        <w:rPr>
          <w:rFonts w:ascii="Times New Roman" w:hAnsi="Times New Roman" w:cs="Times New Roman"/>
          <w:sz w:val="28"/>
          <w:szCs w:val="28"/>
        </w:rPr>
        <w:t xml:space="preserve"> на </w:t>
      </w:r>
      <w:r w:rsidR="00012F69">
        <w:rPr>
          <w:rFonts w:ascii="Times New Roman" w:hAnsi="Times New Roman" w:cs="Times New Roman"/>
          <w:sz w:val="28"/>
          <w:szCs w:val="28"/>
        </w:rPr>
        <w:t>взаимодействи</w:t>
      </w:r>
      <w:r w:rsidR="00D11EE1">
        <w:rPr>
          <w:rFonts w:ascii="Times New Roman" w:hAnsi="Times New Roman" w:cs="Times New Roman"/>
          <w:sz w:val="28"/>
          <w:szCs w:val="28"/>
        </w:rPr>
        <w:t>и</w:t>
      </w:r>
      <w:r w:rsidR="00811285" w:rsidRPr="00184F0B">
        <w:rPr>
          <w:rFonts w:ascii="Times New Roman" w:hAnsi="Times New Roman" w:cs="Times New Roman"/>
          <w:sz w:val="28"/>
          <w:szCs w:val="28"/>
        </w:rPr>
        <w:t xml:space="preserve"> ключевых макроэкономических индикаторов</w:t>
      </w:r>
      <w:r w:rsidR="00360167" w:rsidRPr="00184F0B">
        <w:rPr>
          <w:rFonts w:ascii="Times New Roman" w:hAnsi="Times New Roman" w:cs="Times New Roman"/>
          <w:sz w:val="28"/>
          <w:szCs w:val="28"/>
        </w:rPr>
        <w:t>.</w:t>
      </w:r>
    </w:p>
    <w:p w:rsidR="00811285" w:rsidRDefault="00811285" w:rsidP="00571233">
      <w:pPr>
        <w:spacing w:after="120" w:line="360" w:lineRule="auto"/>
        <w:ind w:firstLine="567"/>
        <w:jc w:val="both"/>
        <w:rPr>
          <w:rFonts w:ascii="Times New Roman" w:hAnsi="Times New Roman" w:cs="Times New Roman"/>
          <w:sz w:val="28"/>
          <w:szCs w:val="28"/>
        </w:rPr>
      </w:pPr>
      <w:r w:rsidRPr="00184F0B">
        <w:rPr>
          <w:rFonts w:ascii="Times New Roman" w:hAnsi="Times New Roman" w:cs="Times New Roman"/>
          <w:sz w:val="28"/>
          <w:szCs w:val="28"/>
        </w:rPr>
        <w:t xml:space="preserve">Развитие российской экономики в последние четверть века, наоборот, в значительной степени определялось масштабом и скоростью трансформаций в отраслевой структуре производства и связанных с ним изменением пропорций доходов и цен. </w:t>
      </w:r>
    </w:p>
    <w:p w:rsidR="00184F0B" w:rsidRPr="00184F0B" w:rsidRDefault="00184F0B" w:rsidP="00184F0B">
      <w:pPr>
        <w:spacing w:after="120" w:line="360" w:lineRule="auto"/>
        <w:jc w:val="both"/>
        <w:rPr>
          <w:rFonts w:ascii="Times New Roman" w:hAnsi="Times New Roman" w:cs="Times New Roman"/>
          <w:sz w:val="28"/>
          <w:szCs w:val="28"/>
        </w:rPr>
      </w:pPr>
      <w:r w:rsidRPr="00184F0B">
        <w:rPr>
          <w:rFonts w:ascii="Times New Roman" w:hAnsi="Times New Roman" w:cs="Times New Roman"/>
          <w:sz w:val="28"/>
          <w:szCs w:val="28"/>
        </w:rPr>
        <w:drawing>
          <wp:inline distT="0" distB="0" distL="0" distR="0">
            <wp:extent cx="5929687" cy="3482939"/>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948416" cy="4642103"/>
                      <a:chOff x="658368" y="1136904"/>
                      <a:chExt cx="10948416" cy="4642103"/>
                    </a:xfrm>
                  </a:grpSpPr>
                  <a:grpSp>
                    <a:nvGrpSpPr>
                      <a:cNvPr id="12" name="Group 11"/>
                      <a:cNvGrpSpPr/>
                    </a:nvGrpSpPr>
                    <a:grpSpPr>
                      <a:xfrm>
                        <a:off x="658368" y="1136904"/>
                        <a:ext cx="10948416" cy="4642103"/>
                        <a:chOff x="658368" y="1136904"/>
                        <a:chExt cx="10948416" cy="4642103"/>
                      </a:xfrm>
                    </a:grpSpPr>
                    <a:graphicFrame>
                      <a:nvGraphicFramePr>
                        <a:cNvPr id="6" name="Chart 5"/>
                        <a:cNvGraphicFramePr/>
                      </a:nvGraphicFramePr>
                      <a:graphic>
                        <a:graphicData uri="http://schemas.openxmlformats.org/drawingml/2006/chart">
                          <c:chart xmlns:c="http://schemas.openxmlformats.org/drawingml/2006/chart" xmlns:r="http://schemas.openxmlformats.org/officeDocument/2006/relationships" r:id="rId8"/>
                        </a:graphicData>
                      </a:graphic>
                      <a:xfrm>
                        <a:off x="658368" y="1438656"/>
                        <a:ext cx="10948416" cy="4340351"/>
                      </a:xfrm>
                    </a:graphicFrame>
                    <a:sp>
                      <a:nvSpPr>
                        <a:cNvPr id="7" name="Rounded Rectangular Callout 6"/>
                        <a:cNvSpPr/>
                      </a:nvSpPr>
                      <a:spPr>
                        <a:xfrm>
                          <a:off x="1499616" y="1170432"/>
                          <a:ext cx="1877568" cy="792480"/>
                        </a:xfrm>
                        <a:prstGeom prst="wedgeRoundRectCallout">
                          <a:avLst>
                            <a:gd name="adj1" fmla="val 28100"/>
                            <a:gd name="adj2" fmla="val 46320"/>
                            <a:gd name="adj3" fmla="val 16667"/>
                          </a:avLst>
                        </a:prstGeom>
                        <a:solidFill>
                          <a:schemeClr val="bg1"/>
                        </a:solidFill>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600" dirty="0" smtClean="0">
                                <a:solidFill>
                                  <a:schemeClr val="tx1"/>
                                </a:solidFill>
                              </a:rPr>
                              <a:t>Упрощение экономики, рост эффективности</a:t>
                            </a:r>
                            <a:endParaRPr lang="ru-RU"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ular Callout 7"/>
                        <a:cNvSpPr/>
                      </a:nvSpPr>
                      <a:spPr>
                        <a:xfrm>
                          <a:off x="4681728" y="1155192"/>
                          <a:ext cx="1719072" cy="792480"/>
                        </a:xfrm>
                        <a:prstGeom prst="wedgeRoundRectCallout">
                          <a:avLst>
                            <a:gd name="adj1" fmla="val -22801"/>
                            <a:gd name="adj2" fmla="val 49397"/>
                            <a:gd name="adj3" fmla="val 16667"/>
                          </a:avLst>
                        </a:prstGeom>
                        <a:solidFill>
                          <a:sysClr val="window" lastClr="FFFFFF"/>
                        </a:solidFill>
                        <a:ln w="25400" cap="flat" cmpd="sng" algn="ctr">
                          <a:solidFill>
                            <a:srgbClr val="4F81BD">
                              <a:shade val="50000"/>
                            </a:srgbClr>
                          </a:solidFill>
                          <a:prstDash val="solid"/>
                        </a:ln>
                        <a:effectLst/>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600" dirty="0" smtClean="0">
                                <a:solidFill>
                                  <a:sysClr val="windowText" lastClr="000000"/>
                                </a:solidFill>
                              </a:rPr>
                              <a:t>Восстановление экономики </a:t>
                            </a:r>
                            <a:endParaRPr lang="ru-RU" sz="16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ular Callout 8"/>
                        <a:cNvSpPr/>
                      </a:nvSpPr>
                      <a:spPr>
                        <a:xfrm>
                          <a:off x="6772656" y="1143000"/>
                          <a:ext cx="1719072" cy="792480"/>
                        </a:xfrm>
                        <a:prstGeom prst="wedgeRoundRectCallout">
                          <a:avLst>
                            <a:gd name="adj1" fmla="val -22801"/>
                            <a:gd name="adj2" fmla="val 49397"/>
                            <a:gd name="adj3" fmla="val 16667"/>
                          </a:avLst>
                        </a:prstGeom>
                        <a:solidFill>
                          <a:sysClr val="window" lastClr="FFFFFF"/>
                        </a:solidFill>
                        <a:ln w="25400" cap="flat" cmpd="sng" algn="ctr">
                          <a:solidFill>
                            <a:srgbClr val="4F81BD">
                              <a:shade val="50000"/>
                            </a:srgbClr>
                          </a:solidFill>
                          <a:prstDash val="solid"/>
                        </a:ln>
                        <a:effectLst/>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600" dirty="0" smtClean="0">
                                <a:solidFill>
                                  <a:sysClr val="windowText" lastClr="000000"/>
                                </a:solidFill>
                              </a:rPr>
                              <a:t>Исчерпание потенциала эффективности</a:t>
                            </a:r>
                            <a:endParaRPr lang="ru-RU" sz="16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ular Callout 9"/>
                        <a:cNvSpPr/>
                      </a:nvSpPr>
                      <a:spPr>
                        <a:xfrm>
                          <a:off x="9070848" y="1136904"/>
                          <a:ext cx="1719072" cy="792480"/>
                        </a:xfrm>
                        <a:prstGeom prst="wedgeRoundRectCallout">
                          <a:avLst>
                            <a:gd name="adj1" fmla="val -22801"/>
                            <a:gd name="adj2" fmla="val 49397"/>
                            <a:gd name="adj3" fmla="val 16667"/>
                          </a:avLst>
                        </a:prstGeom>
                        <a:solidFill>
                          <a:sysClr val="window" lastClr="FFFFFF"/>
                        </a:solidFill>
                        <a:ln w="25400" cap="flat" cmpd="sng" algn="ctr">
                          <a:solidFill>
                            <a:srgbClr val="4F81BD">
                              <a:shade val="50000"/>
                            </a:srgbClr>
                          </a:solidFill>
                          <a:prstDash val="solid"/>
                        </a:ln>
                        <a:effectLst/>
                      </a:spPr>
                      <a:txSp>
                        <a:txBody>
                          <a:bodyPr rtlCol="0"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ru-RU" sz="1600" dirty="0" smtClean="0">
                                <a:solidFill>
                                  <a:sysClr val="windowText" lastClr="000000"/>
                                </a:solidFill>
                              </a:rPr>
                              <a:t>Стагнация</a:t>
                            </a:r>
                            <a:endParaRPr lang="ru-RU" sz="16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571233" w:rsidRPr="00571233" w:rsidRDefault="00184F0B" w:rsidP="003720A1">
      <w:pPr>
        <w:jc w:val="center"/>
        <w:rPr>
          <w:rFonts w:ascii="Times New Roman" w:hAnsi="Times New Roman" w:cs="Times New Roman"/>
          <w:sz w:val="24"/>
          <w:szCs w:val="24"/>
        </w:rPr>
      </w:pPr>
      <w:r>
        <w:rPr>
          <w:rFonts w:ascii="Times New Roman" w:hAnsi="Times New Roman" w:cs="Times New Roman"/>
          <w:sz w:val="24"/>
          <w:szCs w:val="24"/>
        </w:rPr>
        <w:t>Рис. 1 Механизмы роста российской экономики в 1990-2017 гг.</w:t>
      </w:r>
    </w:p>
    <w:p w:rsidR="00370AAD" w:rsidRDefault="00184F0B" w:rsidP="00370AAD">
      <w:pPr>
        <w:spacing w:line="360" w:lineRule="auto"/>
        <w:ind w:firstLine="567"/>
        <w:jc w:val="both"/>
        <w:rPr>
          <w:rFonts w:ascii="Times New Roman" w:hAnsi="Times New Roman" w:cs="Times New Roman"/>
          <w:sz w:val="28"/>
          <w:szCs w:val="28"/>
        </w:rPr>
      </w:pPr>
      <w:r w:rsidRPr="00184F0B">
        <w:rPr>
          <w:rFonts w:ascii="Times New Roman" w:hAnsi="Times New Roman" w:cs="Times New Roman"/>
          <w:sz w:val="28"/>
          <w:szCs w:val="28"/>
        </w:rPr>
        <w:t>В перио</w:t>
      </w:r>
      <w:r>
        <w:rPr>
          <w:rFonts w:ascii="Times New Roman" w:hAnsi="Times New Roman" w:cs="Times New Roman"/>
          <w:sz w:val="28"/>
          <w:szCs w:val="28"/>
        </w:rPr>
        <w:t>д после распада СССР российская экономика испытала тяжелейший трансформационный шок, который определялс</w:t>
      </w:r>
      <w:r w:rsidR="00D11EE1">
        <w:rPr>
          <w:rFonts w:ascii="Times New Roman" w:hAnsi="Times New Roman" w:cs="Times New Roman"/>
          <w:sz w:val="28"/>
          <w:szCs w:val="28"/>
        </w:rPr>
        <w:t>я выбраковкой массы производств</w:t>
      </w:r>
      <w:r>
        <w:rPr>
          <w:rFonts w:ascii="Times New Roman" w:hAnsi="Times New Roman" w:cs="Times New Roman"/>
          <w:sz w:val="28"/>
          <w:szCs w:val="28"/>
        </w:rPr>
        <w:t xml:space="preserve"> (прежде всего наименее эффективных), снижением в структуре добавленной стоимости</w:t>
      </w:r>
      <w:r w:rsidR="00370AAD">
        <w:rPr>
          <w:rFonts w:ascii="Times New Roman" w:hAnsi="Times New Roman" w:cs="Times New Roman"/>
          <w:sz w:val="28"/>
          <w:szCs w:val="28"/>
        </w:rPr>
        <w:t xml:space="preserve"> общей</w:t>
      </w:r>
      <w:r>
        <w:rPr>
          <w:rFonts w:ascii="Times New Roman" w:hAnsi="Times New Roman" w:cs="Times New Roman"/>
          <w:sz w:val="28"/>
          <w:szCs w:val="28"/>
        </w:rPr>
        <w:t xml:space="preserve"> доли промышленности </w:t>
      </w:r>
      <w:r w:rsidR="00370AAD">
        <w:rPr>
          <w:rFonts w:ascii="Times New Roman" w:hAnsi="Times New Roman" w:cs="Times New Roman"/>
          <w:sz w:val="28"/>
          <w:szCs w:val="28"/>
        </w:rPr>
        <w:t>при</w:t>
      </w:r>
      <w:r>
        <w:rPr>
          <w:rFonts w:ascii="Times New Roman" w:hAnsi="Times New Roman" w:cs="Times New Roman"/>
          <w:sz w:val="28"/>
          <w:szCs w:val="28"/>
        </w:rPr>
        <w:t xml:space="preserve"> увеличени</w:t>
      </w:r>
      <w:r w:rsidR="00370AAD">
        <w:rPr>
          <w:rFonts w:ascii="Times New Roman" w:hAnsi="Times New Roman" w:cs="Times New Roman"/>
          <w:sz w:val="28"/>
          <w:szCs w:val="28"/>
        </w:rPr>
        <w:t>и</w:t>
      </w:r>
      <w:r>
        <w:rPr>
          <w:rFonts w:ascii="Times New Roman" w:hAnsi="Times New Roman" w:cs="Times New Roman"/>
          <w:sz w:val="28"/>
          <w:szCs w:val="28"/>
        </w:rPr>
        <w:t xml:space="preserve"> значимости сырьевого комплекса</w:t>
      </w:r>
      <w:r>
        <w:rPr>
          <w:rStyle w:val="FootnoteReference"/>
          <w:rFonts w:ascii="Times New Roman" w:hAnsi="Times New Roman" w:cs="Times New Roman"/>
          <w:sz w:val="28"/>
          <w:szCs w:val="28"/>
        </w:rPr>
        <w:footnoteReference w:id="2"/>
      </w:r>
      <w:r w:rsidR="00370AAD">
        <w:rPr>
          <w:rFonts w:ascii="Times New Roman" w:hAnsi="Times New Roman" w:cs="Times New Roman"/>
          <w:sz w:val="28"/>
          <w:szCs w:val="28"/>
        </w:rPr>
        <w:t xml:space="preserve">. </w:t>
      </w:r>
    </w:p>
    <w:p w:rsidR="00012F69" w:rsidRDefault="00370AAD" w:rsidP="00370AA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Парадокс произошедшего состоит в том, что, хотя Россия и потеряла в этот период почти половину своего ВВП, на основе упрощения структуры экономики произошел общий рост эффективности производства. Именно он </w:t>
      </w:r>
      <w:r>
        <w:rPr>
          <w:rFonts w:ascii="Times New Roman" w:hAnsi="Times New Roman" w:cs="Times New Roman"/>
          <w:sz w:val="28"/>
          <w:szCs w:val="28"/>
        </w:rPr>
        <w:lastRenderedPageBreak/>
        <w:t>стал основой восстановительной динамики в 1999-2008 гг</w:t>
      </w:r>
      <w:r w:rsidR="00D11EE1">
        <w:rPr>
          <w:rFonts w:ascii="Times New Roman" w:hAnsi="Times New Roman" w:cs="Times New Roman"/>
          <w:sz w:val="28"/>
          <w:szCs w:val="28"/>
        </w:rPr>
        <w:t>. (Рис.1)</w:t>
      </w:r>
      <w:r>
        <w:rPr>
          <w:rFonts w:ascii="Times New Roman" w:hAnsi="Times New Roman" w:cs="Times New Roman"/>
          <w:sz w:val="28"/>
          <w:szCs w:val="28"/>
        </w:rPr>
        <w:t xml:space="preserve">. </w:t>
      </w:r>
      <w:r w:rsidR="004210FB">
        <w:rPr>
          <w:rFonts w:ascii="Times New Roman" w:hAnsi="Times New Roman" w:cs="Times New Roman"/>
          <w:sz w:val="28"/>
          <w:szCs w:val="28"/>
        </w:rPr>
        <w:t>В этот период последовательно были задействованы потенциал дозагрузки конкурентоспособных мощностей ориентированных на внутренний спрос и возможности по наращиванию сырьевого экспорта. В результате, уже в начале 2000-х годов, на фоне постепенного улучшения внешнеэкономической конъюнктуры, в российскую экономику стали поступать объемы доходов, превышающие ее текущие возможности по наращиванию потребительского и, особенно, инвестиционного спроса. Упростившаяся структура производства не могла быстро адоптироваться к изменению ситуации, результатом чего стало увеличение зависимости от импорта</w:t>
      </w:r>
      <w:r w:rsidR="00D11EE1">
        <w:rPr>
          <w:rFonts w:ascii="Times New Roman" w:hAnsi="Times New Roman" w:cs="Times New Roman"/>
          <w:sz w:val="28"/>
          <w:szCs w:val="28"/>
        </w:rPr>
        <w:t xml:space="preserve"> (Рис.2)</w:t>
      </w:r>
      <w:r w:rsidR="004210FB">
        <w:rPr>
          <w:rFonts w:ascii="Times New Roman" w:hAnsi="Times New Roman" w:cs="Times New Roman"/>
          <w:sz w:val="28"/>
          <w:szCs w:val="28"/>
        </w:rPr>
        <w:t xml:space="preserve">. Другим ответом на сложившуюся ситуацию стало формирование суверенных фондов, </w:t>
      </w:r>
      <w:r w:rsidR="00D11EE1">
        <w:rPr>
          <w:rFonts w:ascii="Times New Roman" w:hAnsi="Times New Roman" w:cs="Times New Roman"/>
          <w:sz w:val="28"/>
          <w:szCs w:val="28"/>
        </w:rPr>
        <w:t>куда</w:t>
      </w:r>
      <w:r w:rsidR="004210FB">
        <w:rPr>
          <w:rFonts w:ascii="Times New Roman" w:hAnsi="Times New Roman" w:cs="Times New Roman"/>
          <w:sz w:val="28"/>
          <w:szCs w:val="28"/>
        </w:rPr>
        <w:t xml:space="preserve"> направлялась часть доходов от внешнеэкономической деятельности, которые не могли быть эффективно использованы с учетом дефицита инвестиционных мощностей и отсутствия достаточного числа крупных проектов. Ослабленная кризисом 90-х годов российская экономика объективно</w:t>
      </w:r>
      <w:r w:rsidR="00D11EE1">
        <w:rPr>
          <w:rFonts w:ascii="Times New Roman" w:hAnsi="Times New Roman" w:cs="Times New Roman"/>
          <w:sz w:val="28"/>
          <w:szCs w:val="28"/>
        </w:rPr>
        <w:t xml:space="preserve"> оказалась</w:t>
      </w:r>
      <w:r w:rsidR="004210FB">
        <w:rPr>
          <w:rFonts w:ascii="Times New Roman" w:hAnsi="Times New Roman" w:cs="Times New Roman"/>
          <w:sz w:val="28"/>
          <w:szCs w:val="28"/>
        </w:rPr>
        <w:t xml:space="preserve"> не готова к </w:t>
      </w:r>
      <w:r w:rsidR="00012F69">
        <w:rPr>
          <w:rFonts w:ascii="Times New Roman" w:hAnsi="Times New Roman" w:cs="Times New Roman"/>
          <w:sz w:val="28"/>
          <w:szCs w:val="28"/>
        </w:rPr>
        <w:t>тому, чтобы в процессе восстановления опираться преимущественно на собственные производственные возможности.</w:t>
      </w:r>
    </w:p>
    <w:p w:rsidR="00E200CC" w:rsidRDefault="00E200CC" w:rsidP="00E200CC">
      <w:pPr>
        <w:spacing w:line="360" w:lineRule="auto"/>
        <w:jc w:val="both"/>
        <w:rPr>
          <w:rFonts w:ascii="Times New Roman" w:hAnsi="Times New Roman" w:cs="Times New Roman"/>
          <w:sz w:val="28"/>
          <w:szCs w:val="28"/>
        </w:rPr>
      </w:pPr>
      <w:r w:rsidRPr="00E200CC">
        <w:rPr>
          <w:rFonts w:ascii="Times New Roman" w:hAnsi="Times New Roman" w:cs="Times New Roman"/>
          <w:sz w:val="28"/>
          <w:szCs w:val="28"/>
        </w:rPr>
        <w:drawing>
          <wp:inline distT="0" distB="0" distL="0" distR="0">
            <wp:extent cx="5812340" cy="3082247"/>
            <wp:effectExtent l="19050" t="0" r="16960" b="3853"/>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13B2" w:rsidRPr="008213B2" w:rsidRDefault="008213B2" w:rsidP="008213B2">
      <w:pPr>
        <w:jc w:val="center"/>
        <w:rPr>
          <w:rFonts w:ascii="Times New Roman" w:hAnsi="Times New Roman" w:cs="Times New Roman"/>
          <w:sz w:val="24"/>
          <w:szCs w:val="24"/>
        </w:rPr>
      </w:pPr>
      <w:r w:rsidRPr="008213B2">
        <w:rPr>
          <w:rFonts w:ascii="Times New Roman" w:hAnsi="Times New Roman" w:cs="Times New Roman"/>
          <w:sz w:val="24"/>
          <w:szCs w:val="24"/>
        </w:rPr>
        <w:t xml:space="preserve">Рис. 2 Доля импорта во внутреннем потреблении в целом по экономике, </w:t>
      </w:r>
      <w:proofErr w:type="gramStart"/>
      <w:r w:rsidRPr="008213B2">
        <w:rPr>
          <w:rFonts w:ascii="Times New Roman" w:hAnsi="Times New Roman" w:cs="Times New Roman"/>
          <w:sz w:val="24"/>
          <w:szCs w:val="24"/>
        </w:rPr>
        <w:t>в</w:t>
      </w:r>
      <w:proofErr w:type="gramEnd"/>
      <w:r w:rsidRPr="008213B2">
        <w:rPr>
          <w:rFonts w:ascii="Times New Roman" w:hAnsi="Times New Roman" w:cs="Times New Roman"/>
          <w:sz w:val="24"/>
          <w:szCs w:val="24"/>
        </w:rPr>
        <w:t xml:space="preserve"> %</w:t>
      </w:r>
    </w:p>
    <w:p w:rsidR="00184F0B" w:rsidRPr="00184F0B" w:rsidRDefault="00012F69" w:rsidP="00370AA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Рост зависимости от импорта привел к тому, что примерно с 2005 г. отрицательный вклад импорта в формирование ВВП стал практически полностью перекрывать </w:t>
      </w:r>
      <w:r w:rsidR="00E200CC">
        <w:rPr>
          <w:rFonts w:ascii="Times New Roman" w:hAnsi="Times New Roman" w:cs="Times New Roman"/>
          <w:sz w:val="28"/>
          <w:szCs w:val="28"/>
        </w:rPr>
        <w:t xml:space="preserve">положительное воздействие на экономическую динамику такого ключевого фактора, как потребление домашних хозяйств. При таком уровне зависимости от импорта доходов от экспорта уже не хватало для дальнейшего разгона динамики ВВП. Экономика вошла в стадию исчерпания имевшегося потенциала эффективности производства и ограничений сырьевой модели развития. На фоне постепенного замедления темпов роста добычи и производства сырьевых ресурсов произошло снижение доли этих секторов в структуре ВВП, создались условия для снижения показателей экономической динамики. </w:t>
      </w:r>
    </w:p>
    <w:p w:rsidR="00184F0B" w:rsidRDefault="009676FE" w:rsidP="009676FE">
      <w:pPr>
        <w:spacing w:line="360" w:lineRule="auto"/>
        <w:ind w:firstLine="567"/>
        <w:jc w:val="both"/>
        <w:rPr>
          <w:rFonts w:ascii="Times New Roman" w:hAnsi="Times New Roman" w:cs="Times New Roman"/>
          <w:sz w:val="28"/>
          <w:szCs w:val="28"/>
        </w:rPr>
      </w:pPr>
      <w:r w:rsidRPr="009676FE">
        <w:rPr>
          <w:rFonts w:ascii="Times New Roman" w:hAnsi="Times New Roman" w:cs="Times New Roman"/>
          <w:sz w:val="28"/>
          <w:szCs w:val="28"/>
        </w:rPr>
        <w:t xml:space="preserve">Именно </w:t>
      </w:r>
      <w:r>
        <w:rPr>
          <w:rFonts w:ascii="Times New Roman" w:hAnsi="Times New Roman" w:cs="Times New Roman"/>
          <w:sz w:val="28"/>
          <w:szCs w:val="28"/>
        </w:rPr>
        <w:t>эти факторы лежали в основе того, что начиная с 2008 г. российская экономика</w:t>
      </w:r>
      <w:r w:rsidR="002128C6">
        <w:rPr>
          <w:rFonts w:ascii="Times New Roman" w:hAnsi="Times New Roman" w:cs="Times New Roman"/>
          <w:sz w:val="28"/>
          <w:szCs w:val="28"/>
        </w:rPr>
        <w:t>, достигнув по своему объему масштабов 1990 г.,</w:t>
      </w:r>
      <w:r>
        <w:rPr>
          <w:rFonts w:ascii="Times New Roman" w:hAnsi="Times New Roman" w:cs="Times New Roman"/>
          <w:sz w:val="28"/>
          <w:szCs w:val="28"/>
        </w:rPr>
        <w:t xml:space="preserve"> вошла в период низких темпов экономического роста. Стали</w:t>
      </w:r>
      <w:r w:rsidR="002128C6">
        <w:rPr>
          <w:rFonts w:ascii="Times New Roman" w:hAnsi="Times New Roman" w:cs="Times New Roman"/>
          <w:sz w:val="28"/>
          <w:szCs w:val="28"/>
        </w:rPr>
        <w:t xml:space="preserve"> появляться</w:t>
      </w:r>
      <w:r>
        <w:rPr>
          <w:rFonts w:ascii="Times New Roman" w:hAnsi="Times New Roman" w:cs="Times New Roman"/>
          <w:sz w:val="28"/>
          <w:szCs w:val="28"/>
        </w:rPr>
        <w:t xml:space="preserve"> очевидные проблемы</w:t>
      </w:r>
      <w:r w:rsidR="002128C6">
        <w:rPr>
          <w:rFonts w:ascii="Times New Roman" w:hAnsi="Times New Roman" w:cs="Times New Roman"/>
          <w:sz w:val="28"/>
          <w:szCs w:val="28"/>
        </w:rPr>
        <w:t xml:space="preserve"> с повышением качества жизни </w:t>
      </w:r>
      <w:r>
        <w:rPr>
          <w:rFonts w:ascii="Times New Roman" w:hAnsi="Times New Roman" w:cs="Times New Roman"/>
          <w:sz w:val="28"/>
          <w:szCs w:val="28"/>
        </w:rPr>
        <w:t xml:space="preserve">населения, </w:t>
      </w:r>
      <w:r w:rsidR="002128C6">
        <w:rPr>
          <w:rFonts w:ascii="Times New Roman" w:hAnsi="Times New Roman" w:cs="Times New Roman"/>
          <w:sz w:val="28"/>
          <w:szCs w:val="28"/>
        </w:rPr>
        <w:t xml:space="preserve">нарастать </w:t>
      </w:r>
      <w:r>
        <w:rPr>
          <w:rFonts w:ascii="Times New Roman" w:hAnsi="Times New Roman" w:cs="Times New Roman"/>
          <w:sz w:val="28"/>
          <w:szCs w:val="28"/>
        </w:rPr>
        <w:t>ограничения бюджетного, финансового и технологического характера.</w:t>
      </w:r>
    </w:p>
    <w:p w:rsidR="009676FE" w:rsidRDefault="00D11EE1" w:rsidP="009676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9676FE">
        <w:rPr>
          <w:rFonts w:ascii="Times New Roman" w:hAnsi="Times New Roman" w:cs="Times New Roman"/>
          <w:sz w:val="28"/>
          <w:szCs w:val="28"/>
        </w:rPr>
        <w:t xml:space="preserve">счерпание потенциала экономического роста было связано с тем, что в структуре экономики России не нашлось иных значимых источников доходов, кроме сырьевого комплекса. Вернее сказать, что эти источники доходов не были созданы в тот период, когда государство и бизнес имели для этого необходимые ресурсы. По-видимому, таким периодом </w:t>
      </w:r>
      <w:r w:rsidR="00060718">
        <w:rPr>
          <w:rFonts w:ascii="Times New Roman" w:hAnsi="Times New Roman" w:cs="Times New Roman"/>
          <w:sz w:val="28"/>
          <w:szCs w:val="28"/>
        </w:rPr>
        <w:t xml:space="preserve">для российской экономики был 2005-2007 гг., когда </w:t>
      </w:r>
      <w:r>
        <w:rPr>
          <w:rFonts w:ascii="Times New Roman" w:hAnsi="Times New Roman" w:cs="Times New Roman"/>
          <w:sz w:val="28"/>
          <w:szCs w:val="28"/>
        </w:rPr>
        <w:t>рост</w:t>
      </w:r>
      <w:r w:rsidR="00060718">
        <w:rPr>
          <w:rFonts w:ascii="Times New Roman" w:hAnsi="Times New Roman" w:cs="Times New Roman"/>
          <w:sz w:val="28"/>
          <w:szCs w:val="28"/>
        </w:rPr>
        <w:t xml:space="preserve"> сырьевых доходов был еще достаточно высок, а экономика уже окрепла настолько, что могла бы перейти к стадии модернизации промышленности и создания других источников доходов, основывающихся на факторах внутреннего спроса. </w:t>
      </w:r>
      <w:r w:rsidR="002128C6">
        <w:rPr>
          <w:rFonts w:ascii="Times New Roman" w:hAnsi="Times New Roman" w:cs="Times New Roman"/>
          <w:sz w:val="28"/>
          <w:szCs w:val="28"/>
        </w:rPr>
        <w:t>Можно предположить</w:t>
      </w:r>
      <w:r w:rsidR="00060718">
        <w:rPr>
          <w:rFonts w:ascii="Times New Roman" w:hAnsi="Times New Roman" w:cs="Times New Roman"/>
          <w:sz w:val="28"/>
          <w:szCs w:val="28"/>
        </w:rPr>
        <w:t>, что в этот период продолжение</w:t>
      </w:r>
      <w:r>
        <w:rPr>
          <w:rFonts w:ascii="Times New Roman" w:hAnsi="Times New Roman" w:cs="Times New Roman"/>
          <w:sz w:val="28"/>
          <w:szCs w:val="28"/>
        </w:rPr>
        <w:t xml:space="preserve"> и расширение</w:t>
      </w:r>
      <w:r w:rsidR="00060718">
        <w:rPr>
          <w:rFonts w:ascii="Times New Roman" w:hAnsi="Times New Roman" w:cs="Times New Roman"/>
          <w:sz w:val="28"/>
          <w:szCs w:val="28"/>
        </w:rPr>
        <w:t xml:space="preserve"> политики резервирования средств уже не отвечало сложившимся экономическим реалиям.</w:t>
      </w:r>
    </w:p>
    <w:p w:rsidR="00060718" w:rsidRDefault="00060718" w:rsidP="009676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Важно учитывать, что развитие экономики в последние 25 лет сопровождалось значительными изменениями в структуре относительных цен и распределения доходов. Во-первых, часть важнейших секторов производящих сырьевые товары перешли на внутреннем рынке к ценообразованию на принципах экспортного </w:t>
      </w:r>
      <w:r w:rsidR="00D11EE1">
        <w:rPr>
          <w:rFonts w:ascii="Times New Roman" w:hAnsi="Times New Roman" w:cs="Times New Roman"/>
          <w:sz w:val="28"/>
          <w:szCs w:val="28"/>
        </w:rPr>
        <w:t>паритета</w:t>
      </w:r>
      <w:r>
        <w:rPr>
          <w:rFonts w:ascii="Times New Roman" w:hAnsi="Times New Roman" w:cs="Times New Roman"/>
          <w:sz w:val="28"/>
          <w:szCs w:val="28"/>
        </w:rPr>
        <w:t xml:space="preserve"> (внутренние цены равны мировым за вычетом экспортных пошлин и затрат на транспортировку). Во-вторых, в части продукции инфраструктурных монополий сохраняется значительно</w:t>
      </w:r>
      <w:r w:rsidR="00A44442">
        <w:rPr>
          <w:rFonts w:ascii="Times New Roman" w:hAnsi="Times New Roman" w:cs="Times New Roman"/>
          <w:sz w:val="28"/>
          <w:szCs w:val="28"/>
        </w:rPr>
        <w:t xml:space="preserve">е государственное регулирование, сопровождающееся сложной системой перекрестного субсидирования. В-третьих, продукция конечных производств на внутреннем рынке реализуется по ценам существенно ниже мировых. В-четвертых, произошел опережающий рост цен в секторе коммерческих услуг. Таким образом, в экономике сложилась система </w:t>
      </w:r>
      <w:r w:rsidR="00D11EE1">
        <w:rPr>
          <w:rFonts w:ascii="Times New Roman" w:hAnsi="Times New Roman" w:cs="Times New Roman"/>
          <w:sz w:val="28"/>
          <w:szCs w:val="28"/>
        </w:rPr>
        <w:t>относительных цен</w:t>
      </w:r>
      <w:r w:rsidR="00A44442">
        <w:rPr>
          <w:rFonts w:ascii="Times New Roman" w:hAnsi="Times New Roman" w:cs="Times New Roman"/>
          <w:sz w:val="28"/>
          <w:szCs w:val="28"/>
        </w:rPr>
        <w:t xml:space="preserve">, которая сдерживает модернизацию обрабатывающих производств, </w:t>
      </w:r>
      <w:r w:rsidR="002128C6">
        <w:rPr>
          <w:rFonts w:ascii="Times New Roman" w:hAnsi="Times New Roman" w:cs="Times New Roman"/>
          <w:sz w:val="28"/>
          <w:szCs w:val="28"/>
        </w:rPr>
        <w:t>ставя их в невыгодное положение</w:t>
      </w:r>
      <w:r w:rsidR="00A44442">
        <w:rPr>
          <w:rFonts w:ascii="Times New Roman" w:hAnsi="Times New Roman" w:cs="Times New Roman"/>
          <w:sz w:val="28"/>
          <w:szCs w:val="28"/>
        </w:rPr>
        <w:t>, по сравнению с другими секторами экономики.</w:t>
      </w:r>
    </w:p>
    <w:p w:rsidR="002128C6" w:rsidRDefault="002128C6" w:rsidP="009676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в советской экономике неоднородность </w:t>
      </w:r>
      <w:r w:rsidR="00D11EE1">
        <w:rPr>
          <w:rFonts w:ascii="Times New Roman" w:hAnsi="Times New Roman" w:cs="Times New Roman"/>
          <w:sz w:val="28"/>
          <w:szCs w:val="28"/>
        </w:rPr>
        <w:t>отраслей</w:t>
      </w:r>
      <w:r>
        <w:rPr>
          <w:rFonts w:ascii="Times New Roman" w:hAnsi="Times New Roman" w:cs="Times New Roman"/>
          <w:sz w:val="28"/>
          <w:szCs w:val="28"/>
        </w:rPr>
        <w:t xml:space="preserve"> экономики была связана с особенностями иерархии распределения ресурсов при планировании и взаимодействии различных ведомств, то в современной российской экономике также сохраняется </w:t>
      </w:r>
      <w:proofErr w:type="spellStart"/>
      <w:r>
        <w:rPr>
          <w:rFonts w:ascii="Times New Roman" w:hAnsi="Times New Roman" w:cs="Times New Roman"/>
          <w:sz w:val="28"/>
          <w:szCs w:val="28"/>
        </w:rPr>
        <w:t>многоуровневость</w:t>
      </w:r>
      <w:proofErr w:type="spellEnd"/>
      <w:r>
        <w:rPr>
          <w:rFonts w:ascii="Times New Roman" w:hAnsi="Times New Roman" w:cs="Times New Roman"/>
          <w:sz w:val="28"/>
          <w:szCs w:val="28"/>
        </w:rPr>
        <w:t xml:space="preserve"> экономической системы, </w:t>
      </w:r>
      <w:proofErr w:type="gramStart"/>
      <w:r>
        <w:rPr>
          <w:rFonts w:ascii="Times New Roman" w:hAnsi="Times New Roman" w:cs="Times New Roman"/>
          <w:sz w:val="28"/>
          <w:szCs w:val="28"/>
        </w:rPr>
        <w:t>коротая</w:t>
      </w:r>
      <w:proofErr w:type="gramEnd"/>
      <w:r>
        <w:rPr>
          <w:rFonts w:ascii="Times New Roman" w:hAnsi="Times New Roman" w:cs="Times New Roman"/>
          <w:sz w:val="28"/>
          <w:szCs w:val="28"/>
        </w:rPr>
        <w:t xml:space="preserve"> определяется сложившейся системой образования и распределения доходов. В этой системе наиболее конкурентоспособные </w:t>
      </w:r>
      <w:proofErr w:type="spellStart"/>
      <w:r>
        <w:rPr>
          <w:rFonts w:ascii="Times New Roman" w:hAnsi="Times New Roman" w:cs="Times New Roman"/>
          <w:sz w:val="28"/>
          <w:szCs w:val="28"/>
        </w:rPr>
        <w:t>экспортоориентированные</w:t>
      </w:r>
      <w:proofErr w:type="spellEnd"/>
      <w:r>
        <w:rPr>
          <w:rFonts w:ascii="Times New Roman" w:hAnsi="Times New Roman" w:cs="Times New Roman"/>
          <w:sz w:val="28"/>
          <w:szCs w:val="28"/>
        </w:rPr>
        <w:t xml:space="preserve"> компании имеют практически равную доходность от операций на внутреннем и внешнем рынке, </w:t>
      </w:r>
      <w:r w:rsidR="00DD5FA5">
        <w:rPr>
          <w:rFonts w:ascii="Times New Roman" w:hAnsi="Times New Roman" w:cs="Times New Roman"/>
          <w:sz w:val="28"/>
          <w:szCs w:val="28"/>
        </w:rPr>
        <w:t xml:space="preserve">более низкие ставки по кредитам, доступ к дешевому зарубежному финансированию (с поправкой на текущие </w:t>
      </w:r>
      <w:proofErr w:type="spellStart"/>
      <w:r w:rsidR="00DD5FA5">
        <w:rPr>
          <w:rFonts w:ascii="Times New Roman" w:hAnsi="Times New Roman" w:cs="Times New Roman"/>
          <w:sz w:val="28"/>
          <w:szCs w:val="28"/>
        </w:rPr>
        <w:t>санкционные</w:t>
      </w:r>
      <w:proofErr w:type="spellEnd"/>
      <w:r w:rsidR="00DD5FA5">
        <w:rPr>
          <w:rFonts w:ascii="Times New Roman" w:hAnsi="Times New Roman" w:cs="Times New Roman"/>
          <w:sz w:val="28"/>
          <w:szCs w:val="28"/>
        </w:rPr>
        <w:t xml:space="preserve"> ограничения), возможность покупки наиболее совершенных технологий и т.д. На следующем уровне находятся предприятия и компании, которые решают задачи</w:t>
      </w:r>
      <w:r w:rsidR="0062336A">
        <w:rPr>
          <w:rFonts w:ascii="Times New Roman" w:hAnsi="Times New Roman" w:cs="Times New Roman"/>
          <w:sz w:val="28"/>
          <w:szCs w:val="28"/>
        </w:rPr>
        <w:t xml:space="preserve">, в той или иной степени контролируемые государством. Они также имеют доступ к более дешевому финансированию оборотного и основного капитала. </w:t>
      </w:r>
      <w:r w:rsidR="00C62C8B">
        <w:rPr>
          <w:rFonts w:ascii="Times New Roman" w:hAnsi="Times New Roman" w:cs="Times New Roman"/>
          <w:sz w:val="28"/>
          <w:szCs w:val="28"/>
        </w:rPr>
        <w:t xml:space="preserve">Оставшиеся сектора </w:t>
      </w:r>
      <w:r w:rsidR="00C62C8B">
        <w:rPr>
          <w:rFonts w:ascii="Times New Roman" w:hAnsi="Times New Roman" w:cs="Times New Roman"/>
          <w:sz w:val="28"/>
          <w:szCs w:val="28"/>
        </w:rPr>
        <w:lastRenderedPageBreak/>
        <w:t xml:space="preserve">экономики функционируют в условиях низких уровней рентабельности, высоких процентных ставок, </w:t>
      </w:r>
      <w:r w:rsidR="00477718">
        <w:rPr>
          <w:rFonts w:ascii="Times New Roman" w:hAnsi="Times New Roman" w:cs="Times New Roman"/>
          <w:sz w:val="28"/>
          <w:szCs w:val="28"/>
        </w:rPr>
        <w:t>искусственного ограничения спроса, связанного с проводимой денежно-кредитной и бюджетной политикой.</w:t>
      </w:r>
    </w:p>
    <w:p w:rsidR="001E3992" w:rsidRPr="001E3992" w:rsidRDefault="00477718" w:rsidP="001E39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Ограниченность существующих источников доходов, </w:t>
      </w:r>
      <w:r w:rsidR="00A853BC">
        <w:rPr>
          <w:rFonts w:ascii="Times New Roman" w:hAnsi="Times New Roman" w:cs="Times New Roman"/>
          <w:sz w:val="28"/>
          <w:szCs w:val="28"/>
        </w:rPr>
        <w:t>недостаточность механизмов финансирования экономического роста привели к постепенному сползанию российской экономики в стагнационный режим развития. При этом, внешнеэкономические факторы только усугубляли и без того достаточно сложное положение российской экономики. За период 2008-2016 гг. суммарный экономический рост ВВП составил примерно 3%. За этот же период времени мировая экономика выросла на 20%, американская на 34%, китайская на 89%.</w:t>
      </w:r>
      <w:r w:rsidR="001E3992">
        <w:rPr>
          <w:rFonts w:ascii="Times New Roman" w:hAnsi="Times New Roman" w:cs="Times New Roman"/>
          <w:sz w:val="28"/>
          <w:szCs w:val="28"/>
        </w:rPr>
        <w:t xml:space="preserve"> </w:t>
      </w:r>
      <w:r w:rsidR="001E3992" w:rsidRPr="001E3992">
        <w:rPr>
          <w:rFonts w:ascii="Times New Roman" w:hAnsi="Times New Roman" w:cs="Times New Roman"/>
          <w:sz w:val="28"/>
          <w:szCs w:val="28"/>
        </w:rPr>
        <w:t>Только для того, чтобы преодолеть это отставание за 10 лет потребуется обеспечить дополнительный среднегодовой прирост ВВП более</w:t>
      </w:r>
      <w:proofErr w:type="gramStart"/>
      <w:r w:rsidR="001E3992" w:rsidRPr="001E3992">
        <w:rPr>
          <w:rFonts w:ascii="Times New Roman" w:hAnsi="Times New Roman" w:cs="Times New Roman"/>
          <w:sz w:val="28"/>
          <w:szCs w:val="28"/>
        </w:rPr>
        <w:t>,</w:t>
      </w:r>
      <w:proofErr w:type="gramEnd"/>
      <w:r w:rsidR="001E3992" w:rsidRPr="001E3992">
        <w:rPr>
          <w:rFonts w:ascii="Times New Roman" w:hAnsi="Times New Roman" w:cs="Times New Roman"/>
          <w:sz w:val="28"/>
          <w:szCs w:val="28"/>
        </w:rPr>
        <w:t xml:space="preserve"> чем на 2 процентных пункта, для того, чтобы вернуть нашу долю в мировой экономике за этот период нужно расти средним темпом не менее 5%!</w:t>
      </w:r>
    </w:p>
    <w:p w:rsidR="00184F0B" w:rsidRDefault="002128C6" w:rsidP="003720A1">
      <w:pPr>
        <w:jc w:val="center"/>
        <w:rPr>
          <w:rFonts w:ascii="Times New Roman" w:hAnsi="Times New Roman" w:cs="Times New Roman"/>
          <w:b/>
          <w:sz w:val="24"/>
          <w:szCs w:val="24"/>
        </w:rPr>
      </w:pPr>
      <w:r w:rsidRPr="002128C6">
        <w:rPr>
          <w:rFonts w:ascii="Times New Roman" w:hAnsi="Times New Roman" w:cs="Times New Roman"/>
          <w:b/>
          <w:sz w:val="24"/>
          <w:szCs w:val="24"/>
        </w:rPr>
        <w:drawing>
          <wp:inline distT="0" distB="0" distL="0" distR="0">
            <wp:extent cx="5231044" cy="2756764"/>
            <wp:effectExtent l="19050" t="0" r="26756" b="5486"/>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28C6" w:rsidRPr="00A853BC" w:rsidRDefault="002128C6" w:rsidP="002128C6">
      <w:pPr>
        <w:jc w:val="center"/>
        <w:rPr>
          <w:rFonts w:ascii="Times New Roman" w:hAnsi="Times New Roman" w:cs="Times New Roman"/>
          <w:sz w:val="24"/>
          <w:szCs w:val="24"/>
        </w:rPr>
      </w:pPr>
      <w:r w:rsidRPr="00A853BC">
        <w:rPr>
          <w:rFonts w:ascii="Times New Roman" w:hAnsi="Times New Roman" w:cs="Times New Roman"/>
          <w:bCs/>
          <w:sz w:val="24"/>
          <w:szCs w:val="24"/>
        </w:rPr>
        <w:t xml:space="preserve">Рис. 3 Динамика ВВП, 2008 </w:t>
      </w:r>
      <w:proofErr w:type="spellStart"/>
      <w:r w:rsidRPr="00A853BC">
        <w:rPr>
          <w:rFonts w:ascii="Times New Roman" w:hAnsi="Times New Roman" w:cs="Times New Roman"/>
          <w:bCs/>
          <w:sz w:val="24"/>
          <w:szCs w:val="24"/>
        </w:rPr>
        <w:t>г.=</w:t>
      </w:r>
      <w:proofErr w:type="spellEnd"/>
      <w:r w:rsidRPr="00A853BC">
        <w:rPr>
          <w:rFonts w:ascii="Times New Roman" w:hAnsi="Times New Roman" w:cs="Times New Roman"/>
          <w:bCs/>
          <w:sz w:val="24"/>
          <w:szCs w:val="24"/>
        </w:rPr>
        <w:t xml:space="preserve"> 1 </w:t>
      </w:r>
    </w:p>
    <w:p w:rsidR="001E3992" w:rsidRDefault="001E3992" w:rsidP="001E3992">
      <w:pPr>
        <w:spacing w:line="360" w:lineRule="auto"/>
        <w:ind w:firstLine="567"/>
        <w:jc w:val="both"/>
        <w:rPr>
          <w:rFonts w:ascii="Times New Roman" w:hAnsi="Times New Roman" w:cs="Times New Roman"/>
          <w:sz w:val="28"/>
          <w:szCs w:val="28"/>
        </w:rPr>
      </w:pPr>
      <w:proofErr w:type="gramStart"/>
      <w:r w:rsidRPr="001E3992">
        <w:rPr>
          <w:rFonts w:ascii="Times New Roman" w:hAnsi="Times New Roman" w:cs="Times New Roman"/>
          <w:sz w:val="28"/>
          <w:szCs w:val="28"/>
        </w:rPr>
        <w:t xml:space="preserve">Впервые после кризиса 90-х годов мы имеем ситуацию длительного снижения доходов населения, которая не только порождает социальную </w:t>
      </w:r>
      <w:r w:rsidRPr="001E3992">
        <w:rPr>
          <w:rFonts w:ascii="Times New Roman" w:hAnsi="Times New Roman" w:cs="Times New Roman"/>
          <w:sz w:val="28"/>
          <w:szCs w:val="28"/>
        </w:rPr>
        <w:lastRenderedPageBreak/>
        <w:t>напряженнос</w:t>
      </w:r>
      <w:r>
        <w:rPr>
          <w:rFonts w:ascii="Times New Roman" w:hAnsi="Times New Roman" w:cs="Times New Roman"/>
          <w:sz w:val="28"/>
          <w:szCs w:val="28"/>
        </w:rPr>
        <w:t xml:space="preserve">ть, но и ухудшает наши позиции </w:t>
      </w:r>
      <w:r w:rsidRPr="001E3992">
        <w:rPr>
          <w:rFonts w:ascii="Times New Roman" w:hAnsi="Times New Roman" w:cs="Times New Roman"/>
          <w:sz w:val="28"/>
          <w:szCs w:val="28"/>
        </w:rPr>
        <w:t xml:space="preserve">в конкуренции за рабочую силу высокой квалификации, стимулирует «отток мозгов». </w:t>
      </w:r>
      <w:proofErr w:type="gramEnd"/>
    </w:p>
    <w:p w:rsidR="001E3992" w:rsidRPr="001E3992" w:rsidRDefault="001E3992" w:rsidP="001E39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этих условиях энергичные действия по оживлению экономической активности становятся крайне необходимыми. При этом экономическим властям приходится выбирать из имеющихся альтернатив экономического развития, взвешивая реализуемость тех или иных направлений развития экономики.</w:t>
      </w:r>
    </w:p>
    <w:p w:rsidR="0009476D" w:rsidRPr="0009476D" w:rsidRDefault="0009476D" w:rsidP="0009476D">
      <w:pPr>
        <w:pStyle w:val="ListParagraph"/>
        <w:spacing w:after="120" w:line="360" w:lineRule="auto"/>
        <w:ind w:left="0" w:firstLine="567"/>
        <w:jc w:val="both"/>
        <w:rPr>
          <w:rFonts w:ascii="Times New Roman" w:hAnsi="Times New Roman" w:cs="Times New Roman"/>
          <w:sz w:val="28"/>
          <w:szCs w:val="28"/>
        </w:rPr>
      </w:pPr>
      <w:r w:rsidRPr="0009476D">
        <w:rPr>
          <w:rFonts w:ascii="Times New Roman" w:hAnsi="Times New Roman" w:cs="Times New Roman"/>
          <w:sz w:val="28"/>
          <w:szCs w:val="28"/>
        </w:rPr>
        <w:t xml:space="preserve">Рассматривая ключевые альтернативы экономического </w:t>
      </w:r>
      <w:proofErr w:type="gramStart"/>
      <w:r w:rsidRPr="0009476D">
        <w:rPr>
          <w:rFonts w:ascii="Times New Roman" w:hAnsi="Times New Roman" w:cs="Times New Roman"/>
          <w:sz w:val="28"/>
          <w:szCs w:val="28"/>
        </w:rPr>
        <w:t>развития</w:t>
      </w:r>
      <w:proofErr w:type="gramEnd"/>
      <w:r w:rsidRPr="0009476D">
        <w:rPr>
          <w:rFonts w:ascii="Times New Roman" w:hAnsi="Times New Roman" w:cs="Times New Roman"/>
          <w:sz w:val="28"/>
          <w:szCs w:val="28"/>
        </w:rPr>
        <w:t xml:space="preserve"> следует исходить из того, что каждой из них должна соответствовать определенная экономическая политика, предполагающая перераспределение имеющихся ресурсов и набор эшелонированных во времени мероприятий экономической политики. При всем многообразии взглядов на развитие российской экономики со стороны правительственных структур, бизнеса и экспертного сообщества можно очертить три ключевые альтернативных сценария выстраивания экономической политики</w:t>
      </w:r>
    </w:p>
    <w:p w:rsidR="0009476D" w:rsidRPr="0009476D" w:rsidRDefault="0009476D" w:rsidP="0009476D">
      <w:pPr>
        <w:pStyle w:val="ListParagraph"/>
        <w:numPr>
          <w:ilvl w:val="1"/>
          <w:numId w:val="1"/>
        </w:numPr>
        <w:spacing w:after="120" w:line="360" w:lineRule="auto"/>
        <w:ind w:left="567" w:firstLine="0"/>
        <w:jc w:val="both"/>
        <w:rPr>
          <w:rFonts w:ascii="Times New Roman" w:hAnsi="Times New Roman" w:cs="Times New Roman"/>
          <w:sz w:val="28"/>
          <w:szCs w:val="28"/>
        </w:rPr>
      </w:pPr>
      <w:proofErr w:type="gramStart"/>
      <w:r w:rsidRPr="0009476D">
        <w:rPr>
          <w:rFonts w:ascii="Times New Roman" w:hAnsi="Times New Roman" w:cs="Times New Roman"/>
          <w:i/>
          <w:sz w:val="28"/>
          <w:szCs w:val="28"/>
        </w:rPr>
        <w:t>Проектный стратегический подход</w:t>
      </w:r>
      <w:r w:rsidRPr="0009476D">
        <w:rPr>
          <w:rFonts w:ascii="Times New Roman" w:hAnsi="Times New Roman" w:cs="Times New Roman"/>
          <w:sz w:val="28"/>
          <w:szCs w:val="28"/>
        </w:rPr>
        <w:t xml:space="preserve"> – исходит из приоритетности выстраивания целей развития экономики в долгосрочной перспективе, а также формирования набора мероприятий в области экономической политики, ориентированных на достижение этого результата, при этом в составе мер могут комбинироваться как общие макроэкономические решения (в области бюджетной, денежно-кредитной политики и т.д.), так и отдельные решения отраслевого и проектного характера.</w:t>
      </w:r>
      <w:proofErr w:type="gramEnd"/>
      <w:r w:rsidRPr="0009476D">
        <w:rPr>
          <w:rFonts w:ascii="Times New Roman" w:hAnsi="Times New Roman" w:cs="Times New Roman"/>
          <w:sz w:val="28"/>
          <w:szCs w:val="28"/>
        </w:rPr>
        <w:t xml:space="preserve"> </w:t>
      </w:r>
      <w:r w:rsidRPr="0009476D">
        <w:rPr>
          <w:rFonts w:ascii="Times New Roman" w:hAnsi="Times New Roman" w:cs="Times New Roman"/>
          <w:sz w:val="28"/>
          <w:szCs w:val="28"/>
          <w:u w:val="single"/>
        </w:rPr>
        <w:t>Достоинства:</w:t>
      </w:r>
      <w:r w:rsidRPr="0009476D">
        <w:rPr>
          <w:rFonts w:ascii="Times New Roman" w:hAnsi="Times New Roman" w:cs="Times New Roman"/>
          <w:sz w:val="28"/>
          <w:szCs w:val="28"/>
        </w:rPr>
        <w:t xml:space="preserve"> позволяет связать цели развития на макроэкономическом, отраслевом, региональном уровнях и гармонизировать их с наиболее важными проектами и программами, реализуемыми в стране. </w:t>
      </w:r>
      <w:r w:rsidRPr="0009476D">
        <w:rPr>
          <w:rFonts w:ascii="Times New Roman" w:hAnsi="Times New Roman" w:cs="Times New Roman"/>
          <w:sz w:val="28"/>
          <w:szCs w:val="28"/>
          <w:u w:val="single"/>
        </w:rPr>
        <w:t>Недостатки:</w:t>
      </w:r>
      <w:r w:rsidRPr="0009476D">
        <w:rPr>
          <w:rFonts w:ascii="Times New Roman" w:hAnsi="Times New Roman" w:cs="Times New Roman"/>
          <w:sz w:val="28"/>
          <w:szCs w:val="28"/>
        </w:rPr>
        <w:t xml:space="preserve"> требует масштабной настройки механизмов финансирования экономического роста, повышает требования к качеству управления экономикой.</w:t>
      </w:r>
    </w:p>
    <w:p w:rsidR="0009476D" w:rsidRPr="0009476D" w:rsidRDefault="0009476D" w:rsidP="0009476D">
      <w:pPr>
        <w:pStyle w:val="ListParagraph"/>
        <w:numPr>
          <w:ilvl w:val="1"/>
          <w:numId w:val="1"/>
        </w:numPr>
        <w:spacing w:after="120" w:line="360" w:lineRule="auto"/>
        <w:ind w:left="567" w:firstLine="0"/>
        <w:jc w:val="both"/>
        <w:rPr>
          <w:rFonts w:ascii="Times New Roman" w:hAnsi="Times New Roman" w:cs="Times New Roman"/>
          <w:sz w:val="28"/>
          <w:szCs w:val="28"/>
        </w:rPr>
      </w:pPr>
      <w:r w:rsidRPr="0009476D">
        <w:rPr>
          <w:rFonts w:ascii="Times New Roman" w:hAnsi="Times New Roman" w:cs="Times New Roman"/>
          <w:i/>
          <w:sz w:val="28"/>
          <w:szCs w:val="28"/>
        </w:rPr>
        <w:lastRenderedPageBreak/>
        <w:t>Точечная настройка роста</w:t>
      </w:r>
      <w:r w:rsidRPr="0009476D">
        <w:rPr>
          <w:rFonts w:ascii="Times New Roman" w:hAnsi="Times New Roman" w:cs="Times New Roman"/>
          <w:sz w:val="28"/>
          <w:szCs w:val="28"/>
        </w:rPr>
        <w:t xml:space="preserve"> – предполагает устранение барьеров роста за счет решений по настройке текущей экономической </w:t>
      </w:r>
      <w:proofErr w:type="gramStart"/>
      <w:r w:rsidRPr="0009476D">
        <w:rPr>
          <w:rFonts w:ascii="Times New Roman" w:hAnsi="Times New Roman" w:cs="Times New Roman"/>
          <w:sz w:val="28"/>
          <w:szCs w:val="28"/>
        </w:rPr>
        <w:t>политики</w:t>
      </w:r>
      <w:proofErr w:type="gramEnd"/>
      <w:r w:rsidRPr="0009476D">
        <w:rPr>
          <w:rFonts w:ascii="Times New Roman" w:hAnsi="Times New Roman" w:cs="Times New Roman"/>
          <w:sz w:val="28"/>
          <w:szCs w:val="28"/>
        </w:rPr>
        <w:t xml:space="preserve"> в том числе на уровне законодательства, улучшения механизмов управления и распределения финансовых ресурсов. </w:t>
      </w:r>
      <w:r w:rsidRPr="0009476D">
        <w:rPr>
          <w:rFonts w:ascii="Times New Roman" w:hAnsi="Times New Roman" w:cs="Times New Roman"/>
          <w:sz w:val="28"/>
          <w:szCs w:val="28"/>
          <w:u w:val="single"/>
        </w:rPr>
        <w:t>Достоинства:</w:t>
      </w:r>
      <w:r w:rsidRPr="0009476D">
        <w:rPr>
          <w:rFonts w:ascii="Times New Roman" w:hAnsi="Times New Roman" w:cs="Times New Roman"/>
          <w:sz w:val="28"/>
          <w:szCs w:val="28"/>
        </w:rPr>
        <w:t xml:space="preserve"> не требует перестройки системы управления и может проводиться за счет ограниченного объема ресурсов. </w:t>
      </w:r>
      <w:r w:rsidRPr="0009476D">
        <w:rPr>
          <w:rFonts w:ascii="Times New Roman" w:hAnsi="Times New Roman" w:cs="Times New Roman"/>
          <w:sz w:val="28"/>
          <w:szCs w:val="28"/>
          <w:u w:val="single"/>
        </w:rPr>
        <w:t>Недостатки:</w:t>
      </w:r>
      <w:r w:rsidRPr="0009476D">
        <w:rPr>
          <w:rFonts w:ascii="Times New Roman" w:hAnsi="Times New Roman" w:cs="Times New Roman"/>
          <w:sz w:val="28"/>
          <w:szCs w:val="28"/>
        </w:rPr>
        <w:t xml:space="preserve"> если ограничения развития </w:t>
      </w:r>
      <w:proofErr w:type="gramStart"/>
      <w:r w:rsidRPr="0009476D">
        <w:rPr>
          <w:rFonts w:ascii="Times New Roman" w:hAnsi="Times New Roman" w:cs="Times New Roman"/>
          <w:sz w:val="28"/>
          <w:szCs w:val="28"/>
        </w:rPr>
        <w:t>носят фундаментальный характер эффективность данной стратегии может</w:t>
      </w:r>
      <w:proofErr w:type="gramEnd"/>
      <w:r w:rsidRPr="0009476D">
        <w:rPr>
          <w:rFonts w:ascii="Times New Roman" w:hAnsi="Times New Roman" w:cs="Times New Roman"/>
          <w:sz w:val="28"/>
          <w:szCs w:val="28"/>
        </w:rPr>
        <w:t xml:space="preserve"> быть крайне ограниченной.</w:t>
      </w:r>
    </w:p>
    <w:p w:rsidR="0009476D" w:rsidRPr="0009476D" w:rsidRDefault="0009476D" w:rsidP="0009476D">
      <w:pPr>
        <w:pStyle w:val="ListParagraph"/>
        <w:numPr>
          <w:ilvl w:val="1"/>
          <w:numId w:val="1"/>
        </w:numPr>
        <w:spacing w:after="120" w:line="360" w:lineRule="auto"/>
        <w:ind w:left="567" w:firstLine="0"/>
        <w:jc w:val="both"/>
        <w:rPr>
          <w:rFonts w:ascii="Times New Roman" w:hAnsi="Times New Roman" w:cs="Times New Roman"/>
          <w:i/>
          <w:sz w:val="28"/>
          <w:szCs w:val="28"/>
        </w:rPr>
      </w:pPr>
      <w:r w:rsidRPr="0009476D">
        <w:rPr>
          <w:rFonts w:ascii="Times New Roman" w:hAnsi="Times New Roman" w:cs="Times New Roman"/>
          <w:i/>
          <w:sz w:val="28"/>
          <w:szCs w:val="28"/>
        </w:rPr>
        <w:t xml:space="preserve">Полномасштабная перестройка экономики – </w:t>
      </w:r>
      <w:r w:rsidRPr="0009476D">
        <w:rPr>
          <w:rFonts w:ascii="Times New Roman" w:hAnsi="Times New Roman" w:cs="Times New Roman"/>
          <w:sz w:val="28"/>
          <w:szCs w:val="28"/>
        </w:rPr>
        <w:t xml:space="preserve">основывается на изменении ключевых взаимодействий институционального характера и пропорций распределения ресурсов между крупнейшими экономическими агентами (бизнесом, населением и государством). В связи с этом в фокусе такой политики находятся наиболее значимые индикаторы, а основное воздействие на </w:t>
      </w:r>
      <w:proofErr w:type="gramStart"/>
      <w:r w:rsidRPr="0009476D">
        <w:rPr>
          <w:rFonts w:ascii="Times New Roman" w:hAnsi="Times New Roman" w:cs="Times New Roman"/>
          <w:sz w:val="28"/>
          <w:szCs w:val="28"/>
        </w:rPr>
        <w:t>экономику</w:t>
      </w:r>
      <w:proofErr w:type="gramEnd"/>
      <w:r w:rsidRPr="0009476D">
        <w:rPr>
          <w:rFonts w:ascii="Times New Roman" w:hAnsi="Times New Roman" w:cs="Times New Roman"/>
          <w:sz w:val="28"/>
          <w:szCs w:val="28"/>
        </w:rPr>
        <w:t xml:space="preserve"> оказывается через универсальные методы макроэкономической политики. </w:t>
      </w:r>
      <w:r w:rsidRPr="0009476D">
        <w:rPr>
          <w:rFonts w:ascii="Times New Roman" w:hAnsi="Times New Roman" w:cs="Times New Roman"/>
          <w:sz w:val="28"/>
          <w:szCs w:val="28"/>
          <w:u w:val="single"/>
        </w:rPr>
        <w:t>Достоинства:</w:t>
      </w:r>
      <w:r w:rsidRPr="0009476D">
        <w:rPr>
          <w:rFonts w:ascii="Times New Roman" w:hAnsi="Times New Roman" w:cs="Times New Roman"/>
          <w:sz w:val="28"/>
          <w:szCs w:val="28"/>
        </w:rPr>
        <w:t xml:space="preserve"> формируется потенциал равномерного развития экономики с минимальными требованиями к специализированным мерам развития со стороны государства, значительно снижается нагрузка на государственные финансы. </w:t>
      </w:r>
      <w:r w:rsidRPr="0009476D">
        <w:rPr>
          <w:rFonts w:ascii="Times New Roman" w:hAnsi="Times New Roman" w:cs="Times New Roman"/>
          <w:sz w:val="28"/>
          <w:szCs w:val="28"/>
          <w:u w:val="single"/>
        </w:rPr>
        <w:t>Недостатки:</w:t>
      </w:r>
      <w:r w:rsidRPr="0009476D">
        <w:rPr>
          <w:rFonts w:ascii="Times New Roman" w:hAnsi="Times New Roman" w:cs="Times New Roman"/>
          <w:sz w:val="28"/>
          <w:szCs w:val="28"/>
        </w:rPr>
        <w:t xml:space="preserve"> наличие значительных структурных диспропорций в механизмах формирования производства, доходов и цен может привести к низкой эффективности мероприятий, ориентированных исключительно на </w:t>
      </w:r>
      <w:proofErr w:type="spellStart"/>
      <w:r w:rsidRPr="0009476D">
        <w:rPr>
          <w:rFonts w:ascii="Times New Roman" w:hAnsi="Times New Roman" w:cs="Times New Roman"/>
          <w:sz w:val="28"/>
          <w:szCs w:val="28"/>
        </w:rPr>
        <w:t>таргетирование</w:t>
      </w:r>
      <w:proofErr w:type="spellEnd"/>
      <w:r w:rsidRPr="0009476D">
        <w:rPr>
          <w:rFonts w:ascii="Times New Roman" w:hAnsi="Times New Roman" w:cs="Times New Roman"/>
          <w:sz w:val="28"/>
          <w:szCs w:val="28"/>
        </w:rPr>
        <w:t xml:space="preserve"> макроэкономических индикаторов и выстраивание эффективных институтов.</w:t>
      </w:r>
    </w:p>
    <w:p w:rsidR="0009476D" w:rsidRDefault="001E3992" w:rsidP="001E3992">
      <w:pPr>
        <w:spacing w:line="360" w:lineRule="auto"/>
        <w:ind w:firstLine="567"/>
        <w:jc w:val="both"/>
        <w:rPr>
          <w:rFonts w:ascii="Times New Roman" w:hAnsi="Times New Roman"/>
          <w:sz w:val="28"/>
          <w:szCs w:val="28"/>
        </w:rPr>
      </w:pPr>
      <w:r>
        <w:rPr>
          <w:rFonts w:ascii="Times New Roman" w:hAnsi="Times New Roman"/>
          <w:sz w:val="28"/>
          <w:szCs w:val="28"/>
        </w:rPr>
        <w:t xml:space="preserve">В целом, наша позиция состоит в том, что выход на приемлемые темпы экономического роста в 3-4% при помощи исключительно регулярных мер экономической политики невозможен. В экономике накоплен слишком большой груз проблем связанных с ее неоднородностью. В этой связи проектно-стратегическая модель управления в настоящий момент в </w:t>
      </w:r>
      <w:r>
        <w:rPr>
          <w:rFonts w:ascii="Times New Roman" w:hAnsi="Times New Roman"/>
          <w:sz w:val="28"/>
          <w:szCs w:val="28"/>
        </w:rPr>
        <w:lastRenderedPageBreak/>
        <w:t>наибольшей степени отвечает ключевым вызовам макроэкономического и структурного характера.</w:t>
      </w:r>
    </w:p>
    <w:p w:rsidR="00927027" w:rsidRDefault="008213B2" w:rsidP="008213B2">
      <w:pPr>
        <w:spacing w:line="360" w:lineRule="auto"/>
        <w:ind w:firstLine="567"/>
        <w:jc w:val="both"/>
        <w:rPr>
          <w:rFonts w:ascii="Times New Roman" w:hAnsi="Times New Roman"/>
          <w:i/>
          <w:sz w:val="28"/>
          <w:szCs w:val="28"/>
        </w:rPr>
      </w:pPr>
      <w:r w:rsidRPr="008213B2">
        <w:rPr>
          <w:rFonts w:ascii="Times New Roman" w:hAnsi="Times New Roman"/>
          <w:sz w:val="28"/>
          <w:szCs w:val="28"/>
        </w:rPr>
        <w:t xml:space="preserve">Российская экономика находится в состоянии </w:t>
      </w:r>
      <w:r w:rsidRPr="008213B2">
        <w:rPr>
          <w:rFonts w:ascii="Times New Roman" w:hAnsi="Times New Roman"/>
          <w:i/>
          <w:sz w:val="28"/>
          <w:szCs w:val="28"/>
        </w:rPr>
        <w:t>структурно-технологического неравновесия</w:t>
      </w:r>
      <w:r w:rsidRPr="008213B2">
        <w:rPr>
          <w:rFonts w:ascii="Times New Roman" w:hAnsi="Times New Roman"/>
          <w:sz w:val="28"/>
          <w:szCs w:val="28"/>
        </w:rPr>
        <w:t>, характеризующегося неэффективным распределением факторов производства и финансовых ресурсов, которое препятствует формированию устойчивой экономической динамики. В связи с этим</w:t>
      </w:r>
      <w:r w:rsidR="00927027">
        <w:rPr>
          <w:rFonts w:ascii="Times New Roman" w:hAnsi="Times New Roman"/>
          <w:sz w:val="28"/>
          <w:szCs w:val="28"/>
        </w:rPr>
        <w:t xml:space="preserve"> при формировании модели проектно-стратегического </w:t>
      </w:r>
      <w:proofErr w:type="spellStart"/>
      <w:r w:rsidR="00927027">
        <w:rPr>
          <w:rFonts w:ascii="Times New Roman" w:hAnsi="Times New Roman"/>
          <w:sz w:val="28"/>
          <w:szCs w:val="28"/>
        </w:rPr>
        <w:t>упрвления</w:t>
      </w:r>
      <w:proofErr w:type="spellEnd"/>
      <w:r w:rsidR="00927027">
        <w:rPr>
          <w:rFonts w:ascii="Times New Roman" w:hAnsi="Times New Roman"/>
          <w:sz w:val="28"/>
          <w:szCs w:val="28"/>
        </w:rPr>
        <w:t xml:space="preserve"> экономикой</w:t>
      </w:r>
      <w:r w:rsidRPr="008213B2">
        <w:rPr>
          <w:rFonts w:ascii="Times New Roman" w:hAnsi="Times New Roman"/>
          <w:sz w:val="28"/>
          <w:szCs w:val="28"/>
        </w:rPr>
        <w:t xml:space="preserve"> </w:t>
      </w:r>
      <w:r w:rsidR="00927027">
        <w:rPr>
          <w:rFonts w:ascii="Times New Roman" w:hAnsi="Times New Roman"/>
          <w:sz w:val="28"/>
          <w:szCs w:val="28"/>
        </w:rPr>
        <w:t>необходима реализация комплекса мер</w:t>
      </w:r>
      <w:r w:rsidRPr="008213B2">
        <w:rPr>
          <w:rFonts w:ascii="Times New Roman" w:hAnsi="Times New Roman"/>
          <w:sz w:val="28"/>
          <w:szCs w:val="28"/>
        </w:rPr>
        <w:t xml:space="preserve"> </w:t>
      </w:r>
      <w:r w:rsidRPr="008213B2">
        <w:rPr>
          <w:rFonts w:ascii="Times New Roman" w:hAnsi="Times New Roman"/>
          <w:i/>
          <w:sz w:val="28"/>
          <w:szCs w:val="28"/>
          <w:u w:val="single"/>
        </w:rPr>
        <w:t>структурно-инвестиционной политики</w:t>
      </w:r>
      <w:r w:rsidRPr="008213B2">
        <w:rPr>
          <w:rFonts w:ascii="Times New Roman" w:hAnsi="Times New Roman"/>
          <w:i/>
          <w:sz w:val="28"/>
          <w:szCs w:val="28"/>
        </w:rPr>
        <w:t xml:space="preserve">, </w:t>
      </w:r>
      <w:r w:rsidR="00927027">
        <w:rPr>
          <w:rFonts w:ascii="Times New Roman" w:hAnsi="Times New Roman"/>
          <w:i/>
          <w:sz w:val="28"/>
          <w:szCs w:val="28"/>
        </w:rPr>
        <w:t>нацеленных</w:t>
      </w:r>
      <w:r w:rsidRPr="008213B2">
        <w:rPr>
          <w:rFonts w:ascii="Times New Roman" w:hAnsi="Times New Roman"/>
          <w:i/>
          <w:sz w:val="28"/>
          <w:szCs w:val="28"/>
        </w:rPr>
        <w:t xml:space="preserve"> на сглаживание диспропорций отраслевого, технологического и пространственного характера, затрудняющих взаимодействие между секторами экономики</w:t>
      </w:r>
      <w:r w:rsidR="00927027">
        <w:rPr>
          <w:rFonts w:ascii="Times New Roman" w:hAnsi="Times New Roman"/>
          <w:i/>
          <w:sz w:val="28"/>
          <w:szCs w:val="28"/>
        </w:rPr>
        <w:t>,</w:t>
      </w:r>
      <w:r w:rsidRPr="008213B2">
        <w:rPr>
          <w:rFonts w:ascii="Times New Roman" w:hAnsi="Times New Roman"/>
          <w:i/>
          <w:sz w:val="28"/>
          <w:szCs w:val="28"/>
        </w:rPr>
        <w:t xml:space="preserve"> не устраняемых традиционными рыночными механизмами</w:t>
      </w:r>
      <w:r w:rsidR="00927027">
        <w:rPr>
          <w:rFonts w:ascii="Times New Roman" w:hAnsi="Times New Roman"/>
          <w:i/>
          <w:sz w:val="28"/>
          <w:szCs w:val="28"/>
        </w:rPr>
        <w:t>.</w:t>
      </w:r>
      <w:r w:rsidRPr="008213B2">
        <w:rPr>
          <w:rFonts w:ascii="Times New Roman" w:hAnsi="Times New Roman"/>
          <w:i/>
          <w:sz w:val="28"/>
          <w:szCs w:val="28"/>
        </w:rPr>
        <w:t xml:space="preserve"> </w:t>
      </w:r>
      <w:r w:rsidR="00927027">
        <w:rPr>
          <w:rFonts w:ascii="Times New Roman" w:hAnsi="Times New Roman"/>
          <w:i/>
          <w:sz w:val="28"/>
          <w:szCs w:val="28"/>
        </w:rPr>
        <w:t>Реализация такой политики должна</w:t>
      </w:r>
      <w:r w:rsidRPr="008213B2">
        <w:rPr>
          <w:rFonts w:ascii="Times New Roman" w:hAnsi="Times New Roman"/>
          <w:i/>
          <w:sz w:val="28"/>
          <w:szCs w:val="28"/>
        </w:rPr>
        <w:t xml:space="preserve"> включа</w:t>
      </w:r>
      <w:r w:rsidR="00927027">
        <w:rPr>
          <w:rFonts w:ascii="Times New Roman" w:hAnsi="Times New Roman"/>
          <w:i/>
          <w:sz w:val="28"/>
          <w:szCs w:val="28"/>
        </w:rPr>
        <w:t>ть</w:t>
      </w:r>
      <w:r w:rsidRPr="008213B2">
        <w:rPr>
          <w:rFonts w:ascii="Times New Roman" w:hAnsi="Times New Roman"/>
          <w:i/>
          <w:sz w:val="28"/>
          <w:szCs w:val="28"/>
        </w:rPr>
        <w:t xml:space="preserve"> систему целенаправленных действий по развитию механизмов финансирования инвестиций в основной капитал</w:t>
      </w:r>
      <w:r w:rsidR="00D11EE1">
        <w:rPr>
          <w:rStyle w:val="FootnoteReference"/>
          <w:rFonts w:ascii="Times New Roman" w:hAnsi="Times New Roman"/>
          <w:i/>
          <w:sz w:val="28"/>
          <w:szCs w:val="28"/>
        </w:rPr>
        <w:footnoteReference w:id="3"/>
      </w:r>
      <w:r w:rsidRPr="008213B2">
        <w:rPr>
          <w:rFonts w:ascii="Times New Roman" w:hAnsi="Times New Roman"/>
          <w:i/>
          <w:sz w:val="28"/>
          <w:szCs w:val="28"/>
        </w:rPr>
        <w:t>.</w:t>
      </w:r>
    </w:p>
    <w:p w:rsidR="008213B2" w:rsidRPr="00927027" w:rsidRDefault="008213B2" w:rsidP="008213B2">
      <w:pPr>
        <w:spacing w:line="360" w:lineRule="auto"/>
        <w:ind w:firstLine="567"/>
        <w:jc w:val="both"/>
        <w:rPr>
          <w:rFonts w:ascii="Times New Roman" w:hAnsi="Times New Roman"/>
          <w:sz w:val="28"/>
          <w:szCs w:val="28"/>
        </w:rPr>
      </w:pPr>
      <w:r w:rsidRPr="008213B2">
        <w:rPr>
          <w:rFonts w:ascii="Times New Roman" w:hAnsi="Times New Roman"/>
          <w:sz w:val="28"/>
          <w:szCs w:val="28"/>
        </w:rPr>
        <w:t>Структурно-инвестиционная политика</w:t>
      </w:r>
      <w:r w:rsidR="00D11EE1">
        <w:rPr>
          <w:rFonts w:ascii="Times New Roman" w:hAnsi="Times New Roman"/>
          <w:sz w:val="28"/>
          <w:szCs w:val="28"/>
        </w:rPr>
        <w:t xml:space="preserve"> должна</w:t>
      </w:r>
      <w:r w:rsidRPr="008213B2">
        <w:rPr>
          <w:rFonts w:ascii="Times New Roman" w:hAnsi="Times New Roman"/>
          <w:sz w:val="28"/>
          <w:szCs w:val="28"/>
        </w:rPr>
        <w:t xml:space="preserve"> выполня</w:t>
      </w:r>
      <w:r w:rsidR="00D11EE1">
        <w:rPr>
          <w:rFonts w:ascii="Times New Roman" w:hAnsi="Times New Roman"/>
          <w:sz w:val="28"/>
          <w:szCs w:val="28"/>
        </w:rPr>
        <w:t>ть</w:t>
      </w:r>
      <w:r w:rsidRPr="008213B2">
        <w:rPr>
          <w:rFonts w:ascii="Times New Roman" w:hAnsi="Times New Roman"/>
          <w:sz w:val="28"/>
          <w:szCs w:val="28"/>
        </w:rPr>
        <w:t xml:space="preserve"> функцию механизма обеспечения перехода от цели ускорения экономического роста к задаче достижения устойчивой экономической динамики, повышения уровня жизни населения и укрепления национальной безопасности, иными словами – обеспечения качества экономического роста. При этом речь идет не об исключительно отраслевой структуре производства, а о комплексе воспроизводственных взаимодействий (в контуре «производство – доходы – цены»), охватывающем связи не только между отдельными секторами экономики, но и различными уровнями экономической системы. Экономическую основу механизма, обеспечивающего указанные взаимодействия, составляют целевые инвестиции, направляемые, прежде всего, в развитие средне- и высокотехнологичных производств и видов </w:t>
      </w:r>
      <w:r w:rsidRPr="008213B2">
        <w:rPr>
          <w:rFonts w:ascii="Times New Roman" w:hAnsi="Times New Roman"/>
          <w:sz w:val="28"/>
          <w:szCs w:val="28"/>
        </w:rPr>
        <w:lastRenderedPageBreak/>
        <w:t>экономической деятельности.</w:t>
      </w:r>
      <w:r w:rsidRPr="008213B2">
        <w:rPr>
          <w:rFonts w:ascii="Times New Roman" w:hAnsi="Times New Roman"/>
          <w:sz w:val="28"/>
          <w:szCs w:val="28"/>
          <w:vertAlign w:val="superscript"/>
        </w:rPr>
        <w:footnoteReference w:id="4"/>
      </w:r>
      <w:r w:rsidRPr="008213B2">
        <w:rPr>
          <w:rFonts w:ascii="Times New Roman" w:hAnsi="Times New Roman"/>
          <w:sz w:val="28"/>
          <w:szCs w:val="28"/>
        </w:rPr>
        <w:t xml:space="preserve"> При этом структурные изменения в экономике достигаются благодаря не только целевому характеру таких инвестиций, но </w:t>
      </w:r>
      <w:r w:rsidR="00183C7D">
        <w:rPr>
          <w:rFonts w:ascii="Times New Roman" w:hAnsi="Times New Roman"/>
          <w:sz w:val="28"/>
          <w:szCs w:val="28"/>
        </w:rPr>
        <w:t>тому, что</w:t>
      </w:r>
      <w:r w:rsidRPr="008213B2">
        <w:rPr>
          <w:rFonts w:ascii="Times New Roman" w:hAnsi="Times New Roman"/>
          <w:sz w:val="28"/>
          <w:szCs w:val="28"/>
        </w:rPr>
        <w:t xml:space="preserve"> производственны</w:t>
      </w:r>
      <w:r w:rsidR="00183C7D">
        <w:rPr>
          <w:rFonts w:ascii="Times New Roman" w:hAnsi="Times New Roman"/>
          <w:sz w:val="28"/>
          <w:szCs w:val="28"/>
        </w:rPr>
        <w:t>е</w:t>
      </w:r>
      <w:r w:rsidRPr="008213B2">
        <w:rPr>
          <w:rFonts w:ascii="Times New Roman" w:hAnsi="Times New Roman"/>
          <w:sz w:val="28"/>
          <w:szCs w:val="28"/>
        </w:rPr>
        <w:t xml:space="preserve"> комплексов</w:t>
      </w:r>
      <w:r w:rsidR="00183C7D">
        <w:rPr>
          <w:rFonts w:ascii="Times New Roman" w:hAnsi="Times New Roman"/>
          <w:sz w:val="28"/>
          <w:szCs w:val="28"/>
        </w:rPr>
        <w:t xml:space="preserve"> </w:t>
      </w:r>
      <w:r w:rsidRPr="008213B2">
        <w:rPr>
          <w:rFonts w:ascii="Times New Roman" w:hAnsi="Times New Roman"/>
          <w:sz w:val="28"/>
          <w:szCs w:val="28"/>
        </w:rPr>
        <w:t xml:space="preserve"> обеспечивают, с одной стороны, выпуск конечной или промежуточной продукции; с другой –  оказывают позитивное воздействие на другие сектора экономики, определяя </w:t>
      </w:r>
      <w:r w:rsidRPr="00927027">
        <w:rPr>
          <w:rFonts w:ascii="Times New Roman" w:hAnsi="Times New Roman"/>
          <w:sz w:val="28"/>
          <w:szCs w:val="28"/>
        </w:rPr>
        <w:t>общую устойчивость многоуровневой экономической системы.</w:t>
      </w:r>
      <w:r w:rsidRPr="00927027">
        <w:rPr>
          <w:rFonts w:ascii="Times New Roman" w:hAnsi="Times New Roman"/>
          <w:sz w:val="28"/>
          <w:szCs w:val="28"/>
          <w:vertAlign w:val="superscript"/>
        </w:rPr>
        <w:footnoteReference w:id="5"/>
      </w:r>
    </w:p>
    <w:p w:rsidR="00927027" w:rsidRPr="00927027" w:rsidRDefault="00927027" w:rsidP="00927027">
      <w:pPr>
        <w:spacing w:line="360" w:lineRule="auto"/>
        <w:ind w:firstLine="720"/>
        <w:jc w:val="both"/>
        <w:rPr>
          <w:rFonts w:ascii="Times New Roman" w:hAnsi="Times New Roman"/>
          <w:color w:val="000000"/>
          <w:sz w:val="28"/>
          <w:szCs w:val="28"/>
        </w:rPr>
      </w:pPr>
      <w:r w:rsidRPr="00927027">
        <w:rPr>
          <w:rFonts w:ascii="Times New Roman" w:hAnsi="Times New Roman"/>
          <w:sz w:val="28"/>
          <w:szCs w:val="28"/>
        </w:rPr>
        <w:t>Исходной задачей структурно-инвестиционной политики является определение приоритетов для инвестиций, обеспечивающих модернизацию структуры экономики и формирование надлежащих источников и механизмов финансирования. При этом следует исходить из оценок долгосрочного потенциала экономического развития. По нашим расчетам, с учетом имеющихся ограничений развития, достижимым ц</w:t>
      </w:r>
      <w:r w:rsidRPr="00927027">
        <w:rPr>
          <w:rFonts w:ascii="Times New Roman" w:hAnsi="Times New Roman"/>
          <w:color w:val="000000"/>
          <w:sz w:val="28"/>
          <w:szCs w:val="28"/>
        </w:rPr>
        <w:t>елевым ориентиром увеличения ВВП в расчете на душу населения к 2025 г. может рассматриваться уровень в 35% от показателя США в номинальных долларах и 55% по ППС; к 2035 г. – 60% и 67%, соответственно. Сужение разрыва в оценке ВВП в расчете на душу населения, рассчитанного по номиналу и по ППС, отражает</w:t>
      </w:r>
      <w:r w:rsidR="00D11EE1">
        <w:rPr>
          <w:rFonts w:ascii="Times New Roman" w:hAnsi="Times New Roman"/>
          <w:color w:val="000000"/>
          <w:sz w:val="28"/>
          <w:szCs w:val="28"/>
        </w:rPr>
        <w:t xml:space="preserve"> в данном случае</w:t>
      </w:r>
      <w:r w:rsidRPr="00927027">
        <w:rPr>
          <w:rFonts w:ascii="Times New Roman" w:hAnsi="Times New Roman"/>
          <w:color w:val="000000"/>
          <w:sz w:val="28"/>
          <w:szCs w:val="28"/>
        </w:rPr>
        <w:t xml:space="preserve"> качественные характеристики развития экономики.</w:t>
      </w:r>
    </w:p>
    <w:p w:rsidR="00580297" w:rsidRPr="00580297" w:rsidRDefault="00580297" w:rsidP="00580297">
      <w:pPr>
        <w:spacing w:line="360" w:lineRule="auto"/>
        <w:ind w:firstLine="709"/>
        <w:jc w:val="both"/>
        <w:rPr>
          <w:rFonts w:ascii="Times New Roman" w:hAnsi="Times New Roman"/>
          <w:color w:val="000000"/>
          <w:sz w:val="28"/>
          <w:szCs w:val="28"/>
        </w:rPr>
      </w:pPr>
      <w:r w:rsidRPr="00580297">
        <w:rPr>
          <w:rFonts w:ascii="Times New Roman" w:hAnsi="Times New Roman"/>
          <w:color w:val="000000"/>
          <w:sz w:val="28"/>
          <w:szCs w:val="28"/>
        </w:rPr>
        <w:t xml:space="preserve">За последние годы в экономике появились и развиваются новые важные функциональные связи, растет эффективность использования ресурсов. Однако пока эти процессы еще не достаточно масштабны для того, чтобы переломить тенденции, формируемые на внешних товарных и финансовых рынках. Таким образом, ключевыми факторами, которые будут сдерживать экономику в среднесрочной перспективе, являются неизбежное увеличение капиталоёмкости добычи и производства сырья. В условиях сокращения доходов, генерируемых топливно-сырьевым сектором, </w:t>
      </w:r>
      <w:r w:rsidRPr="00580297">
        <w:rPr>
          <w:rFonts w:ascii="Times New Roman" w:hAnsi="Times New Roman"/>
          <w:sz w:val="28"/>
          <w:szCs w:val="28"/>
        </w:rPr>
        <w:t xml:space="preserve">ситуация осложняется необходимостью повышения оборонной нагрузки на экономику </w:t>
      </w:r>
      <w:r w:rsidRPr="00580297">
        <w:rPr>
          <w:rFonts w:ascii="Times New Roman" w:hAnsi="Times New Roman"/>
          <w:sz w:val="28"/>
          <w:szCs w:val="28"/>
        </w:rPr>
        <w:lastRenderedPageBreak/>
        <w:t xml:space="preserve">и необходимостью сохранения высокого объема </w:t>
      </w:r>
      <w:r w:rsidRPr="00580297">
        <w:rPr>
          <w:rFonts w:ascii="Times New Roman" w:hAnsi="Times New Roman"/>
          <w:color w:val="000000"/>
          <w:sz w:val="28"/>
          <w:szCs w:val="28"/>
        </w:rPr>
        <w:t>социальных обязательств (что связано с невозможностью пропорционального снижения социальных расходов в условиях низких темпов роста).</w:t>
      </w:r>
    </w:p>
    <w:p w:rsidR="00580297" w:rsidRPr="00580297" w:rsidRDefault="00580297" w:rsidP="00580297">
      <w:pPr>
        <w:spacing w:after="120" w:line="360" w:lineRule="auto"/>
        <w:ind w:firstLine="567"/>
        <w:jc w:val="both"/>
        <w:rPr>
          <w:rFonts w:ascii="Times New Roman" w:hAnsi="Times New Roman"/>
          <w:color w:val="000000"/>
          <w:sz w:val="28"/>
          <w:szCs w:val="28"/>
        </w:rPr>
      </w:pPr>
      <w:r w:rsidRPr="00D11EE1">
        <w:rPr>
          <w:rFonts w:ascii="Times New Roman" w:hAnsi="Times New Roman"/>
          <w:color w:val="000000"/>
          <w:sz w:val="28"/>
          <w:szCs w:val="28"/>
        </w:rPr>
        <w:t>Возникает необходимость структурного маневра в сфере производства и формирования доходов. Сложившаяся в российской экономике ситуация позволяет говорить о том, что структура производства, доходов и цен выступает в качестве существенного ограничения развития экономики,</w:t>
      </w:r>
      <w:r w:rsidRPr="00580297">
        <w:rPr>
          <w:rFonts w:ascii="Times New Roman" w:hAnsi="Times New Roman"/>
          <w:color w:val="000000"/>
          <w:sz w:val="28"/>
          <w:szCs w:val="28"/>
        </w:rPr>
        <w:t xml:space="preserve"> особенно в том случае, когда между параметрами эффективности производства по видам деятельности сформировались значительные разрывы. В такой ситуации начинают давать сбои механизмы перелива капитала, а значительная часть спроса может покрываться за счет ввозимой из-за рубежа продукции. От сложившейся структуры производства также зависит качество экономического роста, так как она определяет возможности экономики в части формирования и перераспределения ресурсов, в том числе и на цели повышения эффективности. Необходимо сформулировать комплекс мер, направленных на то, чтобы, во-первых, устранить наиболее острые ограничения развития, связанные с отраслевой фрагментацией экономики, а, во-вторых, в ограниченные по времени сроки сформировать новые источники доходов.</w:t>
      </w:r>
    </w:p>
    <w:p w:rsidR="00580297" w:rsidRPr="00580297" w:rsidRDefault="00580297" w:rsidP="00580297">
      <w:pPr>
        <w:spacing w:line="360" w:lineRule="auto"/>
        <w:ind w:firstLine="567"/>
        <w:jc w:val="both"/>
        <w:rPr>
          <w:rFonts w:ascii="Times New Roman" w:hAnsi="Times New Roman"/>
          <w:color w:val="000000"/>
          <w:sz w:val="28"/>
          <w:szCs w:val="28"/>
        </w:rPr>
      </w:pPr>
      <w:r w:rsidRPr="00580297">
        <w:rPr>
          <w:rFonts w:ascii="Times New Roman" w:hAnsi="Times New Roman"/>
          <w:color w:val="000000"/>
          <w:sz w:val="28"/>
          <w:szCs w:val="28"/>
        </w:rPr>
        <w:t xml:space="preserve">Источниками доходов, которые необходимо задействовать в результате проведения структурно-инвестиционной политики, являются последовательное (эшелонированное во времени) использование потенциала </w:t>
      </w:r>
      <w:proofErr w:type="spellStart"/>
      <w:r w:rsidRPr="00580297">
        <w:rPr>
          <w:rFonts w:ascii="Times New Roman" w:hAnsi="Times New Roman"/>
          <w:color w:val="000000"/>
          <w:sz w:val="28"/>
          <w:szCs w:val="28"/>
        </w:rPr>
        <w:t>импортозамещения</w:t>
      </w:r>
      <w:proofErr w:type="spellEnd"/>
      <w:r w:rsidRPr="00580297">
        <w:rPr>
          <w:rFonts w:ascii="Times New Roman" w:hAnsi="Times New Roman"/>
          <w:color w:val="000000"/>
          <w:sz w:val="28"/>
          <w:szCs w:val="28"/>
        </w:rPr>
        <w:t xml:space="preserve">, внутреннего инвестиционного и потребительского спроса, повышение эффективности использования первичных ресурсов и опережающего роста </w:t>
      </w:r>
      <w:proofErr w:type="spellStart"/>
      <w:r w:rsidRPr="00580297">
        <w:rPr>
          <w:rFonts w:ascii="Times New Roman" w:hAnsi="Times New Roman"/>
          <w:color w:val="000000"/>
          <w:sz w:val="28"/>
          <w:szCs w:val="28"/>
        </w:rPr>
        <w:t>несырьевого</w:t>
      </w:r>
      <w:proofErr w:type="spellEnd"/>
      <w:r w:rsidRPr="00580297">
        <w:rPr>
          <w:rFonts w:ascii="Times New Roman" w:hAnsi="Times New Roman"/>
          <w:color w:val="000000"/>
          <w:sz w:val="28"/>
          <w:szCs w:val="28"/>
        </w:rPr>
        <w:t xml:space="preserve"> экспорта. Основным инструментом активизации этих источников является развитие внутренних инструментов долгового финансирования.</w:t>
      </w:r>
    </w:p>
    <w:p w:rsidR="00927027" w:rsidRDefault="00580297" w:rsidP="00BD3A53">
      <w:pPr>
        <w:spacing w:after="120" w:line="360" w:lineRule="auto"/>
        <w:ind w:firstLine="567"/>
        <w:jc w:val="both"/>
        <w:rPr>
          <w:rFonts w:ascii="Times New Roman" w:hAnsi="Times New Roman"/>
          <w:color w:val="000000"/>
          <w:sz w:val="28"/>
          <w:szCs w:val="28"/>
        </w:rPr>
      </w:pPr>
      <w:r w:rsidRPr="00580297">
        <w:rPr>
          <w:rFonts w:ascii="Times New Roman" w:hAnsi="Times New Roman"/>
          <w:color w:val="000000"/>
          <w:sz w:val="28"/>
          <w:szCs w:val="28"/>
        </w:rPr>
        <w:t xml:space="preserve">Одним из условий преодоления имеющихся структурных диспропорций является ускоренное снижение удельных издержек в обрабатывающей </w:t>
      </w:r>
      <w:r w:rsidRPr="00580297">
        <w:rPr>
          <w:rFonts w:ascii="Times New Roman" w:hAnsi="Times New Roman"/>
          <w:color w:val="000000"/>
          <w:sz w:val="28"/>
          <w:szCs w:val="28"/>
        </w:rPr>
        <w:lastRenderedPageBreak/>
        <w:t xml:space="preserve">промышленности, сельском хозяйстве, энергетике и на транспорте. </w:t>
      </w:r>
      <w:proofErr w:type="gramStart"/>
      <w:r w:rsidRPr="00580297">
        <w:rPr>
          <w:rFonts w:ascii="Times New Roman" w:hAnsi="Times New Roman"/>
          <w:color w:val="000000"/>
          <w:sz w:val="28"/>
          <w:szCs w:val="28"/>
        </w:rPr>
        <w:t>Инвестиции в эти сектора должны формироваться путем развития механизмов перераспределения избыточных финансовых ресурсов, генерируемых в экспортно-сырьевой и финансовой сферах.</w:t>
      </w:r>
      <w:proofErr w:type="gramEnd"/>
      <w:r w:rsidRPr="00580297">
        <w:rPr>
          <w:rFonts w:ascii="Times New Roman" w:hAnsi="Times New Roman"/>
          <w:color w:val="000000"/>
          <w:sz w:val="28"/>
          <w:szCs w:val="28"/>
        </w:rPr>
        <w:t xml:space="preserve"> В период структурного маневра экономика сможет опираться на доходы, формируемые рядом секторов экономики, завершивших масштабные инвестиционные программы и обладающих современными мощностями и значительным потенциалом </w:t>
      </w:r>
      <w:proofErr w:type="spellStart"/>
      <w:r w:rsidRPr="00580297">
        <w:rPr>
          <w:rFonts w:ascii="Times New Roman" w:hAnsi="Times New Roman"/>
          <w:color w:val="000000"/>
          <w:sz w:val="28"/>
          <w:szCs w:val="28"/>
        </w:rPr>
        <w:t>безинвестиционного</w:t>
      </w:r>
      <w:proofErr w:type="spellEnd"/>
      <w:r w:rsidRPr="00580297">
        <w:rPr>
          <w:rFonts w:ascii="Times New Roman" w:hAnsi="Times New Roman"/>
          <w:color w:val="000000"/>
          <w:sz w:val="28"/>
          <w:szCs w:val="28"/>
        </w:rPr>
        <w:t xml:space="preserve"> роста производства. </w:t>
      </w:r>
      <w:r w:rsidR="00125207">
        <w:rPr>
          <w:rFonts w:ascii="Times New Roman" w:hAnsi="Times New Roman"/>
          <w:color w:val="000000"/>
          <w:sz w:val="28"/>
          <w:szCs w:val="28"/>
        </w:rPr>
        <w:t>К таким секторам в данный момент относятся: т</w:t>
      </w:r>
      <w:r w:rsidRPr="00580297">
        <w:rPr>
          <w:rFonts w:ascii="Times New Roman" w:hAnsi="Times New Roman"/>
          <w:color w:val="000000"/>
          <w:sz w:val="28"/>
          <w:szCs w:val="28"/>
        </w:rPr>
        <w:t xml:space="preserve">опливно-энергетический комплекс, </w:t>
      </w:r>
      <w:r w:rsidR="00125207">
        <w:rPr>
          <w:rFonts w:ascii="Times New Roman" w:hAnsi="Times New Roman"/>
          <w:color w:val="000000"/>
          <w:sz w:val="28"/>
          <w:szCs w:val="28"/>
        </w:rPr>
        <w:t>х</w:t>
      </w:r>
      <w:r w:rsidRPr="00580297">
        <w:rPr>
          <w:rFonts w:ascii="Times New Roman" w:hAnsi="Times New Roman"/>
          <w:color w:val="000000"/>
          <w:sz w:val="28"/>
          <w:szCs w:val="28"/>
        </w:rPr>
        <w:t xml:space="preserve">имический комплекс, </w:t>
      </w:r>
      <w:r w:rsidR="00125207">
        <w:rPr>
          <w:rFonts w:ascii="Times New Roman" w:hAnsi="Times New Roman"/>
          <w:color w:val="000000"/>
          <w:sz w:val="28"/>
          <w:szCs w:val="28"/>
        </w:rPr>
        <w:t>а</w:t>
      </w:r>
      <w:r w:rsidRPr="00580297">
        <w:rPr>
          <w:rFonts w:ascii="Times New Roman" w:hAnsi="Times New Roman"/>
          <w:color w:val="000000"/>
          <w:sz w:val="28"/>
          <w:szCs w:val="28"/>
        </w:rPr>
        <w:t xml:space="preserve">гропромышленный комплекс (АПК), </w:t>
      </w:r>
      <w:r w:rsidR="00125207">
        <w:rPr>
          <w:rFonts w:ascii="Times New Roman" w:hAnsi="Times New Roman"/>
          <w:color w:val="000000"/>
          <w:sz w:val="28"/>
          <w:szCs w:val="28"/>
        </w:rPr>
        <w:t>с</w:t>
      </w:r>
      <w:r w:rsidRPr="00580297">
        <w:rPr>
          <w:rFonts w:ascii="Times New Roman" w:hAnsi="Times New Roman"/>
          <w:color w:val="000000"/>
          <w:sz w:val="28"/>
          <w:szCs w:val="28"/>
        </w:rPr>
        <w:t xml:space="preserve">троительный комплекс, </w:t>
      </w:r>
      <w:r w:rsidR="00125207">
        <w:rPr>
          <w:rFonts w:ascii="Times New Roman" w:hAnsi="Times New Roman"/>
          <w:color w:val="000000"/>
          <w:sz w:val="28"/>
          <w:szCs w:val="28"/>
        </w:rPr>
        <w:t>с</w:t>
      </w:r>
      <w:r w:rsidRPr="00580297">
        <w:rPr>
          <w:rFonts w:ascii="Times New Roman" w:hAnsi="Times New Roman"/>
          <w:color w:val="000000"/>
          <w:sz w:val="28"/>
          <w:szCs w:val="28"/>
        </w:rPr>
        <w:t xml:space="preserve">ектор коммерческих и персональных услуг. </w:t>
      </w:r>
    </w:p>
    <w:p w:rsidR="004C4458" w:rsidRPr="00485AFE" w:rsidRDefault="004C4458" w:rsidP="004C4458">
      <w:pPr>
        <w:spacing w:after="0" w:line="360" w:lineRule="auto"/>
        <w:ind w:firstLine="567"/>
        <w:jc w:val="both"/>
        <w:rPr>
          <w:rFonts w:ascii="Times New Roman" w:hAnsi="Times New Roman"/>
          <w:sz w:val="28"/>
          <w:szCs w:val="28"/>
        </w:rPr>
      </w:pPr>
      <w:r>
        <w:rPr>
          <w:rFonts w:ascii="Times New Roman" w:hAnsi="Times New Roman"/>
          <w:sz w:val="28"/>
        </w:rPr>
        <w:t xml:space="preserve">С точки зрения макроэкономической политики </w:t>
      </w:r>
      <w:r w:rsidRPr="00485AFE">
        <w:rPr>
          <w:rFonts w:ascii="Times New Roman" w:hAnsi="Times New Roman"/>
          <w:sz w:val="28"/>
        </w:rPr>
        <w:t xml:space="preserve">задача запуска </w:t>
      </w:r>
      <w:r>
        <w:rPr>
          <w:rFonts w:ascii="Times New Roman" w:hAnsi="Times New Roman"/>
          <w:sz w:val="28"/>
        </w:rPr>
        <w:t xml:space="preserve">устойчивого </w:t>
      </w:r>
      <w:r w:rsidRPr="00485AFE">
        <w:rPr>
          <w:rFonts w:ascii="Times New Roman" w:hAnsi="Times New Roman"/>
          <w:sz w:val="28"/>
        </w:rPr>
        <w:t>экономического роста</w:t>
      </w:r>
      <w:r>
        <w:rPr>
          <w:rFonts w:ascii="Times New Roman" w:hAnsi="Times New Roman"/>
          <w:sz w:val="28"/>
        </w:rPr>
        <w:t xml:space="preserve"> и постепенного преодоления структурных ограничений развития</w:t>
      </w:r>
      <w:r w:rsidRPr="00485AFE">
        <w:rPr>
          <w:rFonts w:ascii="Times New Roman" w:hAnsi="Times New Roman"/>
          <w:sz w:val="28"/>
        </w:rPr>
        <w:t xml:space="preserve"> решается путем</w:t>
      </w:r>
      <w:r>
        <w:rPr>
          <w:rFonts w:ascii="Times New Roman" w:hAnsi="Times New Roman"/>
          <w:sz w:val="28"/>
        </w:rPr>
        <w:t xml:space="preserve"> последовательного</w:t>
      </w:r>
      <w:r w:rsidRPr="00485AFE">
        <w:rPr>
          <w:rFonts w:ascii="Times New Roman" w:hAnsi="Times New Roman"/>
          <w:sz w:val="28"/>
        </w:rPr>
        <w:t xml:space="preserve"> наращивания доли инвестиций в ВВП до 25-30%. В свою очередь, запуск экономического роста означает рост до</w:t>
      </w:r>
      <w:r>
        <w:rPr>
          <w:rFonts w:ascii="Times New Roman" w:hAnsi="Times New Roman"/>
          <w:sz w:val="28"/>
        </w:rPr>
        <w:t xml:space="preserve">ходов </w:t>
      </w:r>
      <w:r w:rsidRPr="00485AFE">
        <w:rPr>
          <w:rFonts w:ascii="Times New Roman" w:hAnsi="Times New Roman"/>
          <w:sz w:val="28"/>
        </w:rPr>
        <w:t>бизнеса, населения и государства. При этом создается пространс</w:t>
      </w:r>
      <w:r>
        <w:rPr>
          <w:rFonts w:ascii="Times New Roman" w:hAnsi="Times New Roman"/>
          <w:sz w:val="28"/>
        </w:rPr>
        <w:t>тво для постепенного расширения</w:t>
      </w:r>
      <w:r w:rsidRPr="00485AFE">
        <w:rPr>
          <w:rFonts w:ascii="Times New Roman" w:hAnsi="Times New Roman"/>
          <w:sz w:val="28"/>
        </w:rPr>
        <w:t xml:space="preserve"> мер экономической политики регулярного характера, коммерческого финансирования инвестиционных проектов, снижается зависимость населения от бюджетной поддержки.</w:t>
      </w:r>
    </w:p>
    <w:p w:rsidR="004C4458" w:rsidRPr="005B1DD8" w:rsidRDefault="004C4458" w:rsidP="004C4458">
      <w:pPr>
        <w:spacing w:after="0" w:line="360" w:lineRule="auto"/>
        <w:ind w:firstLine="567"/>
        <w:jc w:val="both"/>
        <w:rPr>
          <w:rFonts w:ascii="Times New Roman" w:hAnsi="Times New Roman"/>
          <w:sz w:val="28"/>
        </w:rPr>
      </w:pPr>
      <w:r w:rsidRPr="005B1DD8">
        <w:rPr>
          <w:rFonts w:ascii="Times New Roman" w:hAnsi="Times New Roman"/>
          <w:sz w:val="28"/>
        </w:rPr>
        <w:t xml:space="preserve">Реализация </w:t>
      </w:r>
      <w:r>
        <w:rPr>
          <w:rFonts w:ascii="Times New Roman" w:hAnsi="Times New Roman"/>
          <w:sz w:val="28"/>
        </w:rPr>
        <w:t xml:space="preserve">системы </w:t>
      </w:r>
      <w:r w:rsidRPr="005B1DD8">
        <w:rPr>
          <w:rFonts w:ascii="Times New Roman" w:hAnsi="Times New Roman"/>
          <w:sz w:val="28"/>
        </w:rPr>
        <w:t xml:space="preserve">национальных проектов позволяет решать задачу повышения качества экономического роста. Кроме того, цели таких проектов служат одновременно ориентирами долгосрочного экономического развития, облегчая координацию и синхронизацию хозяйственной деятельности как на </w:t>
      </w:r>
      <w:proofErr w:type="spellStart"/>
      <w:r w:rsidRPr="005B1DD8">
        <w:rPr>
          <w:rFonts w:ascii="Times New Roman" w:hAnsi="Times New Roman"/>
          <w:sz w:val="28"/>
        </w:rPr>
        <w:t>макроуровне</w:t>
      </w:r>
      <w:proofErr w:type="spellEnd"/>
      <w:r w:rsidRPr="005B1DD8">
        <w:rPr>
          <w:rFonts w:ascii="Times New Roman" w:hAnsi="Times New Roman"/>
          <w:sz w:val="28"/>
        </w:rPr>
        <w:t>, так и на</w:t>
      </w:r>
      <w:r>
        <w:rPr>
          <w:rFonts w:ascii="Times New Roman" w:hAnsi="Times New Roman"/>
          <w:sz w:val="28"/>
        </w:rPr>
        <w:t xml:space="preserve"> уровне отдельных отраслей и территорий</w:t>
      </w:r>
      <w:r w:rsidRPr="005B1DD8">
        <w:rPr>
          <w:rFonts w:ascii="Times New Roman" w:hAnsi="Times New Roman"/>
          <w:sz w:val="28"/>
        </w:rPr>
        <w:t>.</w:t>
      </w:r>
    </w:p>
    <w:p w:rsidR="004C4458" w:rsidRPr="007C51E4" w:rsidRDefault="004C4458" w:rsidP="004C4458">
      <w:pPr>
        <w:spacing w:after="0" w:line="360" w:lineRule="auto"/>
        <w:ind w:firstLine="567"/>
        <w:jc w:val="both"/>
        <w:rPr>
          <w:rFonts w:ascii="Times New Roman" w:hAnsi="Times New Roman"/>
          <w:sz w:val="28"/>
          <w:szCs w:val="28"/>
        </w:rPr>
      </w:pPr>
      <w:r w:rsidRPr="007C51E4">
        <w:rPr>
          <w:rFonts w:ascii="Times New Roman" w:hAnsi="Times New Roman"/>
          <w:sz w:val="28"/>
          <w:szCs w:val="28"/>
        </w:rPr>
        <w:t xml:space="preserve">Принципиальным является вопрос о том, как профинансировать ускорение экономической динамики. </w:t>
      </w:r>
      <w:r>
        <w:rPr>
          <w:rFonts w:ascii="Times New Roman" w:hAnsi="Times New Roman"/>
          <w:sz w:val="28"/>
          <w:szCs w:val="28"/>
        </w:rPr>
        <w:t>В самом общем виде существует лишь три основных источника финансирования экономики: бюджетные средства, банковский кредит</w:t>
      </w:r>
      <w:bookmarkStart w:id="0" w:name="_GoBack"/>
      <w:bookmarkEnd w:id="0"/>
      <w:r>
        <w:rPr>
          <w:rFonts w:ascii="Times New Roman" w:hAnsi="Times New Roman"/>
          <w:sz w:val="28"/>
          <w:szCs w:val="28"/>
        </w:rPr>
        <w:t xml:space="preserve">, рынок акций и облигаций. </w:t>
      </w:r>
      <w:r w:rsidRPr="007C51E4">
        <w:rPr>
          <w:rFonts w:ascii="Times New Roman" w:hAnsi="Times New Roman"/>
          <w:sz w:val="28"/>
          <w:szCs w:val="28"/>
        </w:rPr>
        <w:t xml:space="preserve">При всех вариантах </w:t>
      </w:r>
      <w:r>
        <w:rPr>
          <w:rFonts w:ascii="Times New Roman" w:hAnsi="Times New Roman"/>
          <w:sz w:val="28"/>
          <w:szCs w:val="28"/>
        </w:rPr>
        <w:t>экономической политики</w:t>
      </w:r>
      <w:r w:rsidRPr="007C51E4">
        <w:rPr>
          <w:rFonts w:ascii="Times New Roman" w:hAnsi="Times New Roman"/>
          <w:sz w:val="28"/>
          <w:szCs w:val="28"/>
        </w:rPr>
        <w:t xml:space="preserve"> первый шаг должен быть сделан государством, которое должно задать вектор развития, объявить свои приоритеты через </w:t>
      </w:r>
      <w:r w:rsidRPr="007C51E4">
        <w:rPr>
          <w:rFonts w:ascii="Times New Roman" w:hAnsi="Times New Roman"/>
          <w:sz w:val="28"/>
          <w:szCs w:val="28"/>
        </w:rPr>
        <w:lastRenderedPageBreak/>
        <w:t xml:space="preserve">конкретные меры экономической политики. </w:t>
      </w: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г</w:t>
      </w:r>
      <w:r w:rsidRPr="007C51E4">
        <w:rPr>
          <w:rFonts w:ascii="Times New Roman" w:hAnsi="Times New Roman"/>
          <w:sz w:val="28"/>
          <w:szCs w:val="28"/>
        </w:rPr>
        <w:t>осударственные финансы не могут выступать главным источником финансировани</w:t>
      </w:r>
      <w:r>
        <w:rPr>
          <w:rFonts w:ascii="Times New Roman" w:hAnsi="Times New Roman"/>
          <w:sz w:val="28"/>
          <w:szCs w:val="28"/>
        </w:rPr>
        <w:t>я модернизации экономики.</w:t>
      </w:r>
    </w:p>
    <w:p w:rsidR="004C4458" w:rsidRDefault="004C4458" w:rsidP="004C4458">
      <w:pPr>
        <w:spacing w:after="0" w:line="360" w:lineRule="auto"/>
        <w:ind w:right="58" w:firstLine="706"/>
        <w:jc w:val="both"/>
        <w:rPr>
          <w:rFonts w:ascii="Times New Roman" w:hAnsi="Times New Roman"/>
          <w:sz w:val="28"/>
        </w:rPr>
      </w:pPr>
      <w:r w:rsidRPr="002F59EF">
        <w:rPr>
          <w:rFonts w:ascii="Times New Roman" w:hAnsi="Times New Roman"/>
          <w:sz w:val="28"/>
        </w:rPr>
        <w:t xml:space="preserve">Важнейшим финансовым источником возобновления и обеспечения устойчивого экономического роста является банковский кредит. Государственные финансы и специализированные институты (например, ФРП, АИЖК и т.п.) могут дать заметный эффект в части организации и ориентации банковского кредита, но не в состоянии его заместить. </w:t>
      </w:r>
    </w:p>
    <w:p w:rsidR="004C4458" w:rsidRPr="00B90262" w:rsidRDefault="004C4458" w:rsidP="004C4458">
      <w:pPr>
        <w:spacing w:after="0" w:line="360" w:lineRule="auto"/>
        <w:ind w:right="58" w:firstLine="706"/>
        <w:jc w:val="both"/>
        <w:rPr>
          <w:rFonts w:ascii="Times New Roman" w:hAnsi="Times New Roman"/>
          <w:sz w:val="28"/>
        </w:rPr>
      </w:pPr>
      <w:r>
        <w:rPr>
          <w:rFonts w:ascii="Times New Roman" w:hAnsi="Times New Roman"/>
          <w:sz w:val="28"/>
        </w:rPr>
        <w:t>Для решения т</w:t>
      </w:r>
      <w:r w:rsidRPr="006F279B">
        <w:rPr>
          <w:rFonts w:ascii="Times New Roman" w:hAnsi="Times New Roman"/>
          <w:sz w:val="28"/>
        </w:rPr>
        <w:t>екущи</w:t>
      </w:r>
      <w:r>
        <w:rPr>
          <w:rFonts w:ascii="Times New Roman" w:hAnsi="Times New Roman"/>
          <w:sz w:val="28"/>
        </w:rPr>
        <w:t>х</w:t>
      </w:r>
      <w:r w:rsidRPr="006F279B">
        <w:rPr>
          <w:rFonts w:ascii="Times New Roman" w:hAnsi="Times New Roman"/>
          <w:sz w:val="28"/>
        </w:rPr>
        <w:t xml:space="preserve"> задач</w:t>
      </w:r>
      <w:r>
        <w:rPr>
          <w:rFonts w:ascii="Times New Roman" w:hAnsi="Times New Roman"/>
          <w:sz w:val="28"/>
        </w:rPr>
        <w:t xml:space="preserve"> финансирования экономического роста, прежде всего инвестиций, целесообразно</w:t>
      </w:r>
      <w:r w:rsidRPr="00047FBA">
        <w:rPr>
          <w:rFonts w:ascii="Times New Roman" w:hAnsi="Times New Roman"/>
          <w:sz w:val="28"/>
        </w:rPr>
        <w:t xml:space="preserve"> </w:t>
      </w:r>
      <w:r>
        <w:rPr>
          <w:rFonts w:ascii="Times New Roman" w:hAnsi="Times New Roman"/>
          <w:sz w:val="28"/>
        </w:rPr>
        <w:t>сместить кредитование</w:t>
      </w:r>
      <w:r w:rsidRPr="00B90262">
        <w:rPr>
          <w:rFonts w:ascii="Times New Roman" w:hAnsi="Times New Roman"/>
          <w:sz w:val="28"/>
        </w:rPr>
        <w:t xml:space="preserve"> </w:t>
      </w:r>
      <w:r>
        <w:rPr>
          <w:rFonts w:ascii="Times New Roman" w:hAnsi="Times New Roman"/>
          <w:sz w:val="28"/>
        </w:rPr>
        <w:t xml:space="preserve">от </w:t>
      </w:r>
      <w:r w:rsidRPr="00B90262">
        <w:rPr>
          <w:rFonts w:ascii="Times New Roman" w:hAnsi="Times New Roman"/>
          <w:sz w:val="28"/>
        </w:rPr>
        <w:t>хозяйствующих субъектов (заемщиков) к кредитованию их проектов</w:t>
      </w:r>
      <w:r>
        <w:rPr>
          <w:rFonts w:ascii="Times New Roman" w:hAnsi="Times New Roman"/>
          <w:sz w:val="28"/>
        </w:rPr>
        <w:t>. Это связано с тем, что</w:t>
      </w:r>
      <w:r w:rsidRPr="00B90262">
        <w:rPr>
          <w:rFonts w:ascii="Times New Roman" w:hAnsi="Times New Roman"/>
          <w:sz w:val="28"/>
        </w:rPr>
        <w:t xml:space="preserve"> </w:t>
      </w:r>
      <w:r>
        <w:rPr>
          <w:rFonts w:ascii="Times New Roman" w:hAnsi="Times New Roman"/>
          <w:sz w:val="28"/>
        </w:rPr>
        <w:t>р</w:t>
      </w:r>
      <w:r w:rsidRPr="00B90262">
        <w:rPr>
          <w:rFonts w:ascii="Times New Roman" w:hAnsi="Times New Roman"/>
          <w:sz w:val="28"/>
        </w:rPr>
        <w:t xml:space="preserve">иски проекта и риски заемщика отличаются, </w:t>
      </w:r>
      <w:r>
        <w:rPr>
          <w:rFonts w:ascii="Times New Roman" w:hAnsi="Times New Roman"/>
          <w:sz w:val="28"/>
        </w:rPr>
        <w:t xml:space="preserve">и </w:t>
      </w:r>
      <w:r w:rsidRPr="00B90262">
        <w:rPr>
          <w:rFonts w:ascii="Times New Roman" w:hAnsi="Times New Roman"/>
          <w:sz w:val="28"/>
        </w:rPr>
        <w:t xml:space="preserve">в настоящее время акцент на оценку проекта предпочтительнее для развития кредита. Это лучше всего делать через механизм проектного финансирования, имея в виду снижение требований </w:t>
      </w:r>
      <w:r>
        <w:rPr>
          <w:rFonts w:ascii="Times New Roman" w:hAnsi="Times New Roman"/>
          <w:sz w:val="28"/>
        </w:rPr>
        <w:t>в этом виде</w:t>
      </w:r>
      <w:r w:rsidRPr="00B90262">
        <w:rPr>
          <w:rFonts w:ascii="Times New Roman" w:hAnsi="Times New Roman"/>
          <w:sz w:val="28"/>
        </w:rPr>
        <w:t xml:space="preserve"> финансирования к залогу (залогом выступает сам проект), </w:t>
      </w:r>
      <w:r>
        <w:rPr>
          <w:rFonts w:ascii="Times New Roman" w:hAnsi="Times New Roman"/>
          <w:sz w:val="28"/>
        </w:rPr>
        <w:t>а также создание специализированной</w:t>
      </w:r>
      <w:r w:rsidRPr="00B90262">
        <w:rPr>
          <w:rFonts w:ascii="Times New Roman" w:hAnsi="Times New Roman"/>
          <w:sz w:val="28"/>
        </w:rPr>
        <w:t xml:space="preserve"> систем</w:t>
      </w:r>
      <w:r>
        <w:rPr>
          <w:rFonts w:ascii="Times New Roman" w:hAnsi="Times New Roman"/>
          <w:sz w:val="28"/>
        </w:rPr>
        <w:t>ы</w:t>
      </w:r>
      <w:r w:rsidRPr="00B90262">
        <w:rPr>
          <w:rFonts w:ascii="Times New Roman" w:hAnsi="Times New Roman"/>
          <w:sz w:val="28"/>
        </w:rPr>
        <w:t xml:space="preserve"> отбора проектов и их рефинансирования (стандарты и процедуры экспертизы проектов, широкая сеть «банков развития», механизмы </w:t>
      </w:r>
      <w:proofErr w:type="spellStart"/>
      <w:r w:rsidRPr="00B90262">
        <w:rPr>
          <w:rFonts w:ascii="Times New Roman" w:hAnsi="Times New Roman"/>
          <w:sz w:val="28"/>
        </w:rPr>
        <w:t>синдицирования</w:t>
      </w:r>
      <w:proofErr w:type="spellEnd"/>
      <w:r w:rsidRPr="00B90262">
        <w:rPr>
          <w:rFonts w:ascii="Times New Roman" w:hAnsi="Times New Roman"/>
          <w:sz w:val="28"/>
        </w:rPr>
        <w:t>, «пакетирования» и рефинансирования долговых обязательств).</w:t>
      </w:r>
    </w:p>
    <w:p w:rsidR="004C4458" w:rsidRDefault="004C4458" w:rsidP="004C4458">
      <w:pPr>
        <w:spacing w:after="0" w:line="360" w:lineRule="auto"/>
        <w:ind w:right="58" w:firstLine="706"/>
        <w:jc w:val="both"/>
        <w:rPr>
          <w:rFonts w:ascii="Times New Roman" w:hAnsi="Times New Roman"/>
          <w:sz w:val="28"/>
        </w:rPr>
      </w:pPr>
      <w:r w:rsidRPr="004F23D1">
        <w:rPr>
          <w:rFonts w:ascii="Times New Roman" w:hAnsi="Times New Roman"/>
          <w:sz w:val="28"/>
        </w:rPr>
        <w:t xml:space="preserve">Необходимо </w:t>
      </w:r>
      <w:r>
        <w:rPr>
          <w:rFonts w:ascii="Times New Roman" w:hAnsi="Times New Roman"/>
          <w:sz w:val="28"/>
        </w:rPr>
        <w:t>развитие</w:t>
      </w:r>
      <w:r w:rsidRPr="004F23D1">
        <w:rPr>
          <w:rFonts w:ascii="Times New Roman" w:hAnsi="Times New Roman"/>
          <w:sz w:val="28"/>
        </w:rPr>
        <w:t xml:space="preserve"> специализированных институтов для нормализации кредитной селекции.</w:t>
      </w:r>
      <w:r>
        <w:rPr>
          <w:rFonts w:ascii="Times New Roman" w:hAnsi="Times New Roman"/>
          <w:sz w:val="28"/>
        </w:rPr>
        <w:t xml:space="preserve"> Их задача - приведение запросов</w:t>
      </w:r>
      <w:r w:rsidRPr="00B804CF">
        <w:rPr>
          <w:rFonts w:ascii="Times New Roman" w:hAnsi="Times New Roman"/>
          <w:sz w:val="28"/>
        </w:rPr>
        <w:t xml:space="preserve"> коммерческих банков к виду, приемлемому для Ц</w:t>
      </w:r>
      <w:r>
        <w:rPr>
          <w:rFonts w:ascii="Times New Roman" w:hAnsi="Times New Roman"/>
          <w:sz w:val="28"/>
        </w:rPr>
        <w:t>Б</w:t>
      </w:r>
      <w:r w:rsidRPr="00B804CF">
        <w:rPr>
          <w:rFonts w:ascii="Times New Roman" w:hAnsi="Times New Roman"/>
          <w:sz w:val="28"/>
        </w:rPr>
        <w:t xml:space="preserve"> и (в обратном направлении)</w:t>
      </w:r>
      <w:r>
        <w:rPr>
          <w:rFonts w:ascii="Times New Roman" w:hAnsi="Times New Roman"/>
          <w:sz w:val="28"/>
        </w:rPr>
        <w:t>, доведение рефинансирования</w:t>
      </w:r>
      <w:r w:rsidRPr="00B804CF">
        <w:rPr>
          <w:rFonts w:ascii="Times New Roman" w:hAnsi="Times New Roman"/>
          <w:sz w:val="28"/>
        </w:rPr>
        <w:t xml:space="preserve"> ЦБ до коммерческих банков, эффективно кредитующих реальный сектор.</w:t>
      </w:r>
      <w:r>
        <w:rPr>
          <w:rFonts w:ascii="Times New Roman" w:hAnsi="Times New Roman"/>
          <w:sz w:val="28"/>
        </w:rPr>
        <w:t xml:space="preserve"> </w:t>
      </w:r>
      <w:r w:rsidRPr="00B804CF">
        <w:rPr>
          <w:rFonts w:ascii="Times New Roman" w:hAnsi="Times New Roman"/>
          <w:sz w:val="28"/>
        </w:rPr>
        <w:t xml:space="preserve">Таким посредником вполне может стать система банков развития. В настоящее время </w:t>
      </w:r>
      <w:r>
        <w:rPr>
          <w:rFonts w:ascii="Times New Roman" w:hAnsi="Times New Roman"/>
          <w:sz w:val="28"/>
        </w:rPr>
        <w:t>имеющиеся институты развития (прежде всего ВЭБ)</w:t>
      </w:r>
      <w:r w:rsidRPr="00B804CF">
        <w:rPr>
          <w:rFonts w:ascii="Times New Roman" w:hAnsi="Times New Roman"/>
          <w:sz w:val="28"/>
        </w:rPr>
        <w:t xml:space="preserve"> занима</w:t>
      </w:r>
      <w:r>
        <w:rPr>
          <w:rFonts w:ascii="Times New Roman" w:hAnsi="Times New Roman"/>
          <w:sz w:val="28"/>
        </w:rPr>
        <w:t>ю</w:t>
      </w:r>
      <w:r w:rsidRPr="00B804CF">
        <w:rPr>
          <w:rFonts w:ascii="Times New Roman" w:hAnsi="Times New Roman"/>
          <w:sz w:val="28"/>
        </w:rPr>
        <w:t>тся в основном распределением государственных финансовых ресурсов</w:t>
      </w:r>
      <w:r>
        <w:rPr>
          <w:rFonts w:ascii="Times New Roman" w:hAnsi="Times New Roman"/>
          <w:sz w:val="28"/>
        </w:rPr>
        <w:t xml:space="preserve">, хотя </w:t>
      </w:r>
      <w:r w:rsidRPr="00B804CF">
        <w:rPr>
          <w:rFonts w:ascii="Times New Roman" w:hAnsi="Times New Roman"/>
          <w:sz w:val="28"/>
        </w:rPr>
        <w:t>роль банка развития в национальной экономике должна быть существенно шире.</w:t>
      </w:r>
    </w:p>
    <w:p w:rsidR="004C4458" w:rsidRPr="004F23D1" w:rsidRDefault="004C4458" w:rsidP="004C4458">
      <w:pPr>
        <w:spacing w:after="0" w:line="360" w:lineRule="auto"/>
        <w:ind w:right="58" w:firstLine="706"/>
        <w:jc w:val="both"/>
        <w:rPr>
          <w:rFonts w:ascii="Times New Roman" w:hAnsi="Times New Roman"/>
          <w:sz w:val="28"/>
        </w:rPr>
      </w:pPr>
      <w:r w:rsidRPr="004F23D1">
        <w:rPr>
          <w:rFonts w:ascii="Times New Roman" w:hAnsi="Times New Roman"/>
          <w:sz w:val="28"/>
        </w:rPr>
        <w:lastRenderedPageBreak/>
        <w:t xml:space="preserve">По нашим оценкам для повышения доли инвестиций в ВВП до уровня в 25% </w:t>
      </w:r>
      <w:r>
        <w:rPr>
          <w:rFonts w:ascii="Times New Roman" w:hAnsi="Times New Roman"/>
          <w:sz w:val="28"/>
        </w:rPr>
        <w:t>необходимо через различные каналы</w:t>
      </w:r>
      <w:r w:rsidRPr="004F23D1">
        <w:rPr>
          <w:rFonts w:ascii="Times New Roman" w:hAnsi="Times New Roman"/>
          <w:sz w:val="28"/>
        </w:rPr>
        <w:t xml:space="preserve"> профинансировать проекты на сумму в 1,5-2,0 трлн. руб.</w:t>
      </w:r>
      <w:r>
        <w:rPr>
          <w:rFonts w:ascii="Times New Roman" w:hAnsi="Times New Roman"/>
          <w:sz w:val="28"/>
        </w:rPr>
        <w:t xml:space="preserve"> (в расчете на один год).</w:t>
      </w:r>
      <w:r w:rsidRPr="004F23D1">
        <w:rPr>
          <w:rFonts w:ascii="Times New Roman" w:hAnsi="Times New Roman"/>
          <w:sz w:val="28"/>
        </w:rPr>
        <w:t xml:space="preserve"> Такой объем финансовых средств, особенно в годовом выражении, кажется значительным. В то же время ежегодно только через систему страхования вкладов и поддержку банковской системы тратятся сопоставимые суммы без явного эффекта для развития экономики. При этом ключевым фактором, который сможет радикально повлиять на оздоровление банковской системы будет все тот же экономический рост. </w:t>
      </w:r>
    </w:p>
    <w:p w:rsidR="004C4458" w:rsidRDefault="004C4458" w:rsidP="004C4458">
      <w:pPr>
        <w:spacing w:after="0" w:line="360" w:lineRule="auto"/>
        <w:ind w:right="58" w:firstLine="706"/>
        <w:jc w:val="both"/>
        <w:rPr>
          <w:rFonts w:ascii="Times New Roman" w:hAnsi="Times New Roman"/>
          <w:sz w:val="28"/>
        </w:rPr>
      </w:pPr>
      <w:r w:rsidRPr="00763D9F">
        <w:rPr>
          <w:rFonts w:ascii="Times New Roman" w:hAnsi="Times New Roman"/>
          <w:sz w:val="28"/>
        </w:rPr>
        <w:t>С учетом незагруженных конкурентоспособных мощностей, адаптации российской экономики к режиму внешних рестрикций и низких цен на нефть можно утверждать, что финансовая поддержка экономического роста будет сопровождаться повышением его темпов. При этом риски неконтролируемого роста импорта и ускорения инфляции будут снижаться по мере того, как инвестиции будут рас</w:t>
      </w:r>
      <w:r>
        <w:rPr>
          <w:rFonts w:ascii="Times New Roman" w:hAnsi="Times New Roman"/>
          <w:sz w:val="28"/>
        </w:rPr>
        <w:t>ширять возможности производства.</w:t>
      </w:r>
    </w:p>
    <w:p w:rsidR="004C4458" w:rsidRDefault="004C4458" w:rsidP="004C4458">
      <w:pPr>
        <w:spacing w:after="0" w:line="360" w:lineRule="auto"/>
        <w:ind w:right="58" w:firstLine="706"/>
        <w:jc w:val="both"/>
        <w:rPr>
          <w:rFonts w:ascii="Times New Roman" w:hAnsi="Times New Roman"/>
          <w:sz w:val="28"/>
        </w:rPr>
      </w:pPr>
      <w:r>
        <w:rPr>
          <w:rFonts w:ascii="Times New Roman" w:hAnsi="Times New Roman"/>
          <w:sz w:val="28"/>
        </w:rPr>
        <w:t xml:space="preserve">Критически важно, чтобы селекция проектов в первую очередь была бы направлена на реализацию возможностей </w:t>
      </w:r>
      <w:proofErr w:type="gramStart"/>
      <w:r>
        <w:rPr>
          <w:rFonts w:ascii="Times New Roman" w:hAnsi="Times New Roman"/>
          <w:sz w:val="28"/>
        </w:rPr>
        <w:t>эффективного</w:t>
      </w:r>
      <w:proofErr w:type="gramEnd"/>
      <w:r>
        <w:rPr>
          <w:rFonts w:ascii="Times New Roman" w:hAnsi="Times New Roman"/>
          <w:sz w:val="28"/>
        </w:rPr>
        <w:t xml:space="preserve"> </w:t>
      </w:r>
      <w:proofErr w:type="spellStart"/>
      <w:r>
        <w:rPr>
          <w:rFonts w:ascii="Times New Roman" w:hAnsi="Times New Roman"/>
          <w:sz w:val="28"/>
        </w:rPr>
        <w:t>импортозамещения</w:t>
      </w:r>
      <w:proofErr w:type="spellEnd"/>
      <w:r>
        <w:rPr>
          <w:rFonts w:ascii="Times New Roman" w:hAnsi="Times New Roman"/>
          <w:sz w:val="28"/>
        </w:rPr>
        <w:t>. Для снижения рисков избыточного роста импорта при запуске экономического роста необходимо в той или иной степени сдерживать рост курса рубля. Укрепление реального курса рубля станет возможным и неизбежным в условиях устойчивого роста и будет отражать изменение конкурентоспособности российской экономики. Одновременно с этим было бы целесообразным запретить российским финансовым организациям кредитовать отечественные компании и население в валюте, за исключением внешнеэкономических операций.</w:t>
      </w:r>
    </w:p>
    <w:p w:rsidR="004C4458" w:rsidRDefault="004C4458" w:rsidP="004C4458">
      <w:pPr>
        <w:spacing w:after="0" w:line="360" w:lineRule="auto"/>
        <w:ind w:right="58" w:firstLine="706"/>
        <w:jc w:val="both"/>
        <w:rPr>
          <w:rFonts w:ascii="Times New Roman" w:hAnsi="Times New Roman"/>
          <w:sz w:val="28"/>
        </w:rPr>
      </w:pPr>
      <w:r>
        <w:rPr>
          <w:rFonts w:ascii="Times New Roman" w:hAnsi="Times New Roman"/>
          <w:sz w:val="28"/>
        </w:rPr>
        <w:t xml:space="preserve">Ориентация на долгосрочные цели развития предполагает, что бюджет в целом должен формироваться от расходов, включая расходы бюджета развития. При этом было бы целесообразно передать ключевую роль в формировании расходов бюджета к Минэкономразвития РФ, оставив за </w:t>
      </w:r>
      <w:r>
        <w:rPr>
          <w:rFonts w:ascii="Times New Roman" w:hAnsi="Times New Roman"/>
          <w:sz w:val="28"/>
        </w:rPr>
        <w:lastRenderedPageBreak/>
        <w:t>Минфином РФ функции по оперативному управлению бюджетным процессом и формирования доходной политики.</w:t>
      </w:r>
    </w:p>
    <w:p w:rsidR="004C4458" w:rsidRDefault="004C4458" w:rsidP="004C4458">
      <w:pPr>
        <w:spacing w:after="0" w:line="360" w:lineRule="auto"/>
        <w:ind w:right="58" w:firstLine="706"/>
        <w:jc w:val="both"/>
        <w:rPr>
          <w:rFonts w:ascii="Times New Roman" w:hAnsi="Times New Roman"/>
          <w:sz w:val="28"/>
        </w:rPr>
      </w:pPr>
      <w:r>
        <w:rPr>
          <w:rFonts w:ascii="Times New Roman" w:hAnsi="Times New Roman"/>
          <w:sz w:val="28"/>
        </w:rPr>
        <w:t>Следует также, что Федеральный бюджет является ключевым, но не единственным элементом государственных финансов. Следует активнее координировать расходы в рамках региональных бюджетов, внебюджетных фондов.</w:t>
      </w:r>
    </w:p>
    <w:p w:rsidR="004C4458" w:rsidRPr="004C4458" w:rsidRDefault="004C4458" w:rsidP="004C4458">
      <w:pPr>
        <w:spacing w:after="0" w:line="360" w:lineRule="auto"/>
        <w:ind w:right="58" w:firstLine="706"/>
        <w:jc w:val="both"/>
        <w:rPr>
          <w:rFonts w:ascii="Times New Roman" w:hAnsi="Times New Roman"/>
          <w:sz w:val="28"/>
        </w:rPr>
      </w:pPr>
      <w:r w:rsidRPr="004C4458">
        <w:rPr>
          <w:rFonts w:ascii="Times New Roman" w:hAnsi="Times New Roman"/>
          <w:sz w:val="28"/>
        </w:rPr>
        <w:t xml:space="preserve">В условиях </w:t>
      </w:r>
      <w:r w:rsidR="004A41F0">
        <w:rPr>
          <w:rFonts w:ascii="Times New Roman" w:hAnsi="Times New Roman"/>
          <w:sz w:val="28"/>
        </w:rPr>
        <w:t>реализации мероприятий структурно-инвестиционной политики</w:t>
      </w:r>
      <w:r w:rsidRPr="004C4458">
        <w:rPr>
          <w:rFonts w:ascii="Times New Roman" w:hAnsi="Times New Roman"/>
          <w:sz w:val="28"/>
        </w:rPr>
        <w:t xml:space="preserve"> </w:t>
      </w:r>
      <w:proofErr w:type="gramStart"/>
      <w:r w:rsidRPr="004C4458">
        <w:rPr>
          <w:rFonts w:ascii="Times New Roman" w:hAnsi="Times New Roman"/>
          <w:sz w:val="28"/>
        </w:rPr>
        <w:t xml:space="preserve">появляется возможность последовательной оценки </w:t>
      </w:r>
      <w:r w:rsidR="004A41F0">
        <w:rPr>
          <w:rFonts w:ascii="Times New Roman" w:hAnsi="Times New Roman"/>
          <w:sz w:val="28"/>
        </w:rPr>
        <w:t>возникают</w:t>
      </w:r>
      <w:proofErr w:type="gramEnd"/>
      <w:r w:rsidR="004A41F0">
        <w:rPr>
          <w:rFonts w:ascii="Times New Roman" w:hAnsi="Times New Roman"/>
          <w:sz w:val="28"/>
        </w:rPr>
        <w:t xml:space="preserve"> возможности существенного повышения темпов экономического роста </w:t>
      </w:r>
      <w:r w:rsidRPr="004C4458">
        <w:rPr>
          <w:rFonts w:ascii="Times New Roman" w:hAnsi="Times New Roman"/>
          <w:sz w:val="28"/>
        </w:rPr>
        <w:t xml:space="preserve">(Таблица 1). </w:t>
      </w:r>
    </w:p>
    <w:p w:rsidR="004C4458" w:rsidRPr="004C4458" w:rsidRDefault="004C4458" w:rsidP="004C4458">
      <w:pPr>
        <w:spacing w:line="360" w:lineRule="auto"/>
        <w:jc w:val="both"/>
        <w:rPr>
          <w:rFonts w:ascii="Times New Roman" w:hAnsi="Times New Roman" w:cs="Times New Roman"/>
          <w:sz w:val="28"/>
          <w:szCs w:val="28"/>
        </w:rPr>
      </w:pPr>
      <w:r w:rsidRPr="004C4458">
        <w:rPr>
          <w:rFonts w:ascii="Times New Roman" w:hAnsi="Times New Roman" w:cs="Times New Roman"/>
          <w:b/>
          <w:sz w:val="28"/>
          <w:szCs w:val="28"/>
        </w:rPr>
        <w:t>Таблица 1</w:t>
      </w:r>
      <w:r w:rsidRPr="004C4458">
        <w:rPr>
          <w:rFonts w:ascii="Times New Roman" w:hAnsi="Times New Roman" w:cs="Times New Roman"/>
          <w:sz w:val="28"/>
          <w:szCs w:val="28"/>
        </w:rPr>
        <w:t xml:space="preserve"> </w:t>
      </w:r>
      <w:r w:rsidRPr="004C4458">
        <w:rPr>
          <w:rFonts w:ascii="Times New Roman" w:hAnsi="Times New Roman" w:cs="Times New Roman"/>
          <w:color w:val="000000"/>
          <w:sz w:val="28"/>
          <w:szCs w:val="28"/>
        </w:rPr>
        <w:t>Темпы роста ВВП и элементов конечного спроса</w:t>
      </w:r>
    </w:p>
    <w:tbl>
      <w:tblPr>
        <w:tblW w:w="5000" w:type="pct"/>
        <w:tblLayout w:type="fixed"/>
        <w:tblLook w:val="04A0"/>
      </w:tblPr>
      <w:tblGrid>
        <w:gridCol w:w="3653"/>
        <w:gridCol w:w="1133"/>
        <w:gridCol w:w="1135"/>
        <w:gridCol w:w="1133"/>
        <w:gridCol w:w="1277"/>
        <w:gridCol w:w="1240"/>
      </w:tblGrid>
      <w:tr w:rsidR="004C4458" w:rsidRPr="00BF4ADF" w:rsidTr="004A41F0">
        <w:trPr>
          <w:trHeight w:val="300"/>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rPr>
                <w:rFonts w:ascii="Times New Roman" w:hAnsi="Times New Roman" w:cs="Times New Roman"/>
                <w:color w:val="000000"/>
              </w:rPr>
            </w:pP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4C4458" w:rsidRPr="004A41F0" w:rsidRDefault="004C4458" w:rsidP="00AE1279">
            <w:pPr>
              <w:ind w:left="-109"/>
              <w:jc w:val="center"/>
              <w:rPr>
                <w:rFonts w:ascii="Times New Roman" w:hAnsi="Times New Roman" w:cs="Times New Roman"/>
                <w:bCs/>
                <w:color w:val="000000"/>
              </w:rPr>
            </w:pPr>
            <w:r w:rsidRPr="004A41F0">
              <w:rPr>
                <w:rFonts w:ascii="Times New Roman" w:hAnsi="Times New Roman" w:cs="Times New Roman"/>
                <w:bCs/>
                <w:color w:val="000000"/>
              </w:rPr>
              <w:t>201</w:t>
            </w:r>
            <w:r w:rsidR="00AE1279">
              <w:rPr>
                <w:rFonts w:ascii="Times New Roman" w:hAnsi="Times New Roman" w:cs="Times New Roman"/>
                <w:bCs/>
                <w:color w:val="000000"/>
              </w:rPr>
              <w:t>7</w:t>
            </w:r>
            <w:r w:rsidRPr="004A41F0">
              <w:rPr>
                <w:rFonts w:ascii="Times New Roman" w:hAnsi="Times New Roman" w:cs="Times New Roman"/>
                <w:bCs/>
                <w:color w:val="000000"/>
              </w:rPr>
              <w:t>-2020</w:t>
            </w:r>
          </w:p>
        </w:tc>
        <w:tc>
          <w:tcPr>
            <w:tcW w:w="593" w:type="pct"/>
            <w:tcBorders>
              <w:top w:val="single" w:sz="4" w:space="0" w:color="auto"/>
              <w:left w:val="nil"/>
              <w:bottom w:val="single" w:sz="4" w:space="0" w:color="auto"/>
              <w:right w:val="nil"/>
            </w:tcBorders>
            <w:shd w:val="clear" w:color="auto" w:fill="auto"/>
            <w:noWrap/>
            <w:vAlign w:val="bottom"/>
            <w:hideMark/>
          </w:tcPr>
          <w:p w:rsidR="004C4458" w:rsidRPr="004A41F0" w:rsidRDefault="004C4458" w:rsidP="004C4458">
            <w:pPr>
              <w:ind w:left="-109"/>
              <w:jc w:val="center"/>
              <w:rPr>
                <w:rFonts w:ascii="Times New Roman" w:hAnsi="Times New Roman" w:cs="Times New Roman"/>
                <w:bCs/>
                <w:color w:val="000000"/>
              </w:rPr>
            </w:pPr>
            <w:r w:rsidRPr="004A41F0">
              <w:rPr>
                <w:rFonts w:ascii="Times New Roman" w:hAnsi="Times New Roman" w:cs="Times New Roman"/>
                <w:bCs/>
                <w:color w:val="000000"/>
              </w:rPr>
              <w:t>2021-2025</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ind w:left="-109"/>
              <w:jc w:val="center"/>
              <w:rPr>
                <w:rFonts w:ascii="Times New Roman" w:hAnsi="Times New Roman" w:cs="Times New Roman"/>
                <w:bCs/>
                <w:color w:val="000000"/>
              </w:rPr>
            </w:pPr>
            <w:r w:rsidRPr="004A41F0">
              <w:rPr>
                <w:rFonts w:ascii="Times New Roman" w:hAnsi="Times New Roman" w:cs="Times New Roman"/>
                <w:bCs/>
                <w:color w:val="000000"/>
              </w:rPr>
              <w:t>2026-2030</w:t>
            </w:r>
          </w:p>
        </w:tc>
        <w:tc>
          <w:tcPr>
            <w:tcW w:w="667" w:type="pct"/>
            <w:tcBorders>
              <w:top w:val="single" w:sz="4" w:space="0" w:color="auto"/>
              <w:left w:val="nil"/>
              <w:bottom w:val="single" w:sz="4" w:space="0" w:color="auto"/>
              <w:right w:val="nil"/>
            </w:tcBorders>
            <w:shd w:val="clear" w:color="auto" w:fill="auto"/>
            <w:noWrap/>
            <w:vAlign w:val="bottom"/>
            <w:hideMark/>
          </w:tcPr>
          <w:p w:rsidR="004C4458" w:rsidRPr="004A41F0" w:rsidRDefault="004C4458" w:rsidP="004C4458">
            <w:pPr>
              <w:ind w:left="-109"/>
              <w:jc w:val="center"/>
              <w:rPr>
                <w:rFonts w:ascii="Times New Roman" w:hAnsi="Times New Roman" w:cs="Times New Roman"/>
                <w:bCs/>
                <w:color w:val="000000"/>
              </w:rPr>
            </w:pPr>
            <w:r w:rsidRPr="004A41F0">
              <w:rPr>
                <w:rFonts w:ascii="Times New Roman" w:hAnsi="Times New Roman" w:cs="Times New Roman"/>
                <w:bCs/>
                <w:color w:val="000000"/>
              </w:rPr>
              <w:t>2031-2035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ind w:left="-109"/>
              <w:jc w:val="center"/>
              <w:rPr>
                <w:rFonts w:ascii="Times New Roman" w:hAnsi="Times New Roman" w:cs="Times New Roman"/>
                <w:bCs/>
                <w:color w:val="000000"/>
              </w:rPr>
            </w:pPr>
            <w:r w:rsidRPr="004A41F0">
              <w:rPr>
                <w:rFonts w:ascii="Times New Roman" w:hAnsi="Times New Roman" w:cs="Times New Roman"/>
                <w:bCs/>
                <w:color w:val="000000"/>
              </w:rPr>
              <w:t>2017-2035</w:t>
            </w:r>
          </w:p>
        </w:tc>
      </w:tr>
      <w:tr w:rsidR="004C4458" w:rsidRPr="00BF4ADF" w:rsidTr="004A41F0">
        <w:trPr>
          <w:trHeight w:val="300"/>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rPr>
                <w:rFonts w:ascii="Times New Roman" w:hAnsi="Times New Roman" w:cs="Times New Roman"/>
                <w:bCs/>
                <w:color w:val="000000"/>
              </w:rPr>
            </w:pPr>
            <w:r w:rsidRPr="004A41F0">
              <w:rPr>
                <w:rFonts w:ascii="Times New Roman" w:hAnsi="Times New Roman" w:cs="Times New Roman"/>
                <w:bCs/>
                <w:color w:val="000000"/>
              </w:rPr>
              <w:t>Потребление домашних хозяйств</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4C4458" w:rsidRPr="00AE1279" w:rsidRDefault="00AE1279" w:rsidP="00AE1279">
            <w:pPr>
              <w:ind w:left="-109"/>
              <w:jc w:val="center"/>
              <w:rPr>
                <w:rFonts w:ascii="Times New Roman" w:hAnsi="Times New Roman" w:cs="Times New Roman"/>
                <w:color w:val="000000"/>
              </w:rPr>
            </w:pPr>
            <w:r w:rsidRPr="00AE1279">
              <w:rPr>
                <w:rFonts w:ascii="Times New Roman" w:hAnsi="Times New Roman" w:cs="Times New Roman"/>
                <w:color w:val="000000"/>
              </w:rPr>
              <w:t>3</w:t>
            </w:r>
            <w:r w:rsidR="004C4458" w:rsidRPr="00AE1279">
              <w:rPr>
                <w:rFonts w:ascii="Times New Roman" w:hAnsi="Times New Roman" w:cs="Times New Roman"/>
                <w:color w:val="000000"/>
              </w:rPr>
              <w:t>.</w:t>
            </w:r>
            <w:r w:rsidRPr="00AE1279">
              <w:rPr>
                <w:rFonts w:ascii="Times New Roman" w:hAnsi="Times New Roman" w:cs="Times New Roman"/>
                <w:color w:val="000000"/>
              </w:rPr>
              <w:t>1</w:t>
            </w:r>
          </w:p>
        </w:tc>
        <w:tc>
          <w:tcPr>
            <w:tcW w:w="593"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ind w:left="-109"/>
              <w:jc w:val="center"/>
              <w:rPr>
                <w:rFonts w:ascii="Times New Roman" w:hAnsi="Times New Roman" w:cs="Times New Roman"/>
                <w:color w:val="000000"/>
              </w:rPr>
            </w:pPr>
            <w:r w:rsidRPr="00AE1279">
              <w:rPr>
                <w:rFonts w:ascii="Times New Roman" w:hAnsi="Times New Roman" w:cs="Times New Roman"/>
                <w:color w:val="000000"/>
              </w:rPr>
              <w:t>4.8</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A83B3E" w:rsidP="00A83B3E">
            <w:pPr>
              <w:ind w:left="-109"/>
              <w:jc w:val="center"/>
              <w:rPr>
                <w:rFonts w:ascii="Times New Roman" w:hAnsi="Times New Roman" w:cs="Times New Roman"/>
                <w:color w:val="000000"/>
              </w:rPr>
            </w:pPr>
            <w:r>
              <w:rPr>
                <w:rFonts w:ascii="Times New Roman" w:hAnsi="Times New Roman" w:cs="Times New Roman"/>
                <w:color w:val="000000"/>
              </w:rPr>
              <w:t>3</w:t>
            </w:r>
            <w:r w:rsidR="004C4458" w:rsidRPr="00AE1279">
              <w:rPr>
                <w:rFonts w:ascii="Times New Roman" w:hAnsi="Times New Roman" w:cs="Times New Roman"/>
                <w:color w:val="000000"/>
              </w:rPr>
              <w:t>.</w:t>
            </w:r>
            <w:r>
              <w:rPr>
                <w:rFonts w:ascii="Times New Roman" w:hAnsi="Times New Roman" w:cs="Times New Roman"/>
                <w:color w:val="000000"/>
              </w:rPr>
              <w:t>0</w:t>
            </w:r>
          </w:p>
        </w:tc>
        <w:tc>
          <w:tcPr>
            <w:tcW w:w="667"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ind w:left="-109"/>
              <w:jc w:val="center"/>
              <w:rPr>
                <w:rFonts w:ascii="Times New Roman" w:hAnsi="Times New Roman" w:cs="Times New Roman"/>
                <w:color w:val="000000"/>
              </w:rPr>
            </w:pPr>
            <w:r w:rsidRPr="00AE1279">
              <w:rPr>
                <w:rFonts w:ascii="Times New Roman" w:hAnsi="Times New Roman" w:cs="Times New Roman"/>
                <w:color w:val="000000"/>
              </w:rPr>
              <w:t>2.8</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A83B3E">
            <w:pPr>
              <w:ind w:left="-109"/>
              <w:jc w:val="center"/>
              <w:rPr>
                <w:rFonts w:ascii="Times New Roman" w:hAnsi="Times New Roman" w:cs="Times New Roman"/>
                <w:bCs/>
                <w:color w:val="000000"/>
              </w:rPr>
            </w:pPr>
            <w:r w:rsidRPr="00AE1279">
              <w:rPr>
                <w:rFonts w:ascii="Times New Roman" w:hAnsi="Times New Roman" w:cs="Times New Roman"/>
                <w:bCs/>
                <w:color w:val="000000"/>
              </w:rPr>
              <w:t>3.</w:t>
            </w:r>
            <w:r w:rsidR="00A83B3E">
              <w:rPr>
                <w:rFonts w:ascii="Times New Roman" w:hAnsi="Times New Roman" w:cs="Times New Roman"/>
                <w:bCs/>
                <w:color w:val="000000"/>
              </w:rPr>
              <w:t>6</w:t>
            </w:r>
          </w:p>
        </w:tc>
      </w:tr>
      <w:tr w:rsidR="004C4458" w:rsidRPr="00BF4ADF" w:rsidTr="004A41F0">
        <w:trPr>
          <w:trHeight w:val="300"/>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rPr>
                <w:rFonts w:ascii="Times New Roman" w:hAnsi="Times New Roman" w:cs="Times New Roman"/>
                <w:bCs/>
                <w:color w:val="000000"/>
              </w:rPr>
            </w:pPr>
            <w:r w:rsidRPr="004A41F0">
              <w:rPr>
                <w:rFonts w:ascii="Times New Roman" w:hAnsi="Times New Roman" w:cs="Times New Roman"/>
                <w:bCs/>
                <w:color w:val="000000"/>
              </w:rPr>
              <w:t>Государственное потребление</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1.2</w:t>
            </w:r>
          </w:p>
        </w:tc>
        <w:tc>
          <w:tcPr>
            <w:tcW w:w="593"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1.7</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1.6</w:t>
            </w:r>
          </w:p>
        </w:tc>
        <w:tc>
          <w:tcPr>
            <w:tcW w:w="667"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2.0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bCs/>
                <w:color w:val="000000"/>
              </w:rPr>
            </w:pPr>
            <w:r w:rsidRPr="00AE1279">
              <w:rPr>
                <w:rFonts w:ascii="Times New Roman" w:hAnsi="Times New Roman" w:cs="Times New Roman"/>
                <w:bCs/>
                <w:color w:val="000000"/>
              </w:rPr>
              <w:t>1.7</w:t>
            </w:r>
          </w:p>
        </w:tc>
      </w:tr>
      <w:tr w:rsidR="004C4458" w:rsidRPr="00BF4ADF" w:rsidTr="004A41F0">
        <w:trPr>
          <w:trHeight w:val="300"/>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rPr>
                <w:rFonts w:ascii="Times New Roman" w:hAnsi="Times New Roman" w:cs="Times New Roman"/>
                <w:bCs/>
                <w:color w:val="000000"/>
              </w:rPr>
            </w:pPr>
            <w:r w:rsidRPr="004A41F0">
              <w:rPr>
                <w:rFonts w:ascii="Times New Roman" w:hAnsi="Times New Roman" w:cs="Times New Roman"/>
                <w:bCs/>
                <w:color w:val="000000"/>
              </w:rPr>
              <w:t>Накопление основного капитала</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4C4458" w:rsidRPr="00AE1279" w:rsidRDefault="00AE1279" w:rsidP="004C4458">
            <w:pPr>
              <w:jc w:val="center"/>
              <w:rPr>
                <w:rFonts w:ascii="Times New Roman" w:hAnsi="Times New Roman" w:cs="Times New Roman"/>
                <w:color w:val="000000"/>
              </w:rPr>
            </w:pPr>
            <w:r w:rsidRPr="00AE1279">
              <w:rPr>
                <w:rFonts w:ascii="Times New Roman" w:hAnsi="Times New Roman" w:cs="Times New Roman"/>
                <w:color w:val="000000"/>
              </w:rPr>
              <w:t>8</w:t>
            </w:r>
            <w:r w:rsidR="004C4458" w:rsidRPr="00AE1279">
              <w:rPr>
                <w:rFonts w:ascii="Times New Roman" w:hAnsi="Times New Roman" w:cs="Times New Roman"/>
                <w:color w:val="000000"/>
              </w:rPr>
              <w:t>.1</w:t>
            </w:r>
          </w:p>
        </w:tc>
        <w:tc>
          <w:tcPr>
            <w:tcW w:w="593"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4.5</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3.3</w:t>
            </w:r>
          </w:p>
        </w:tc>
        <w:tc>
          <w:tcPr>
            <w:tcW w:w="667"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3.5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bCs/>
                <w:color w:val="000000"/>
              </w:rPr>
            </w:pPr>
            <w:r w:rsidRPr="00AE1279">
              <w:rPr>
                <w:rFonts w:ascii="Times New Roman" w:hAnsi="Times New Roman" w:cs="Times New Roman"/>
                <w:bCs/>
                <w:color w:val="000000"/>
              </w:rPr>
              <w:t>5.0</w:t>
            </w:r>
          </w:p>
        </w:tc>
      </w:tr>
      <w:tr w:rsidR="004C4458" w:rsidRPr="00BF4ADF" w:rsidTr="004A41F0">
        <w:trPr>
          <w:trHeight w:val="300"/>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rPr>
                <w:rFonts w:ascii="Times New Roman" w:hAnsi="Times New Roman" w:cs="Times New Roman"/>
                <w:bCs/>
                <w:color w:val="000000"/>
              </w:rPr>
            </w:pPr>
            <w:r w:rsidRPr="004A41F0">
              <w:rPr>
                <w:rFonts w:ascii="Times New Roman" w:hAnsi="Times New Roman" w:cs="Times New Roman"/>
                <w:bCs/>
                <w:color w:val="000000"/>
              </w:rPr>
              <w:t>Экспорт</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4C4458" w:rsidRPr="00AE1279" w:rsidRDefault="00AE1279" w:rsidP="00AE1279">
            <w:pPr>
              <w:jc w:val="center"/>
              <w:rPr>
                <w:rFonts w:ascii="Times New Roman" w:hAnsi="Times New Roman" w:cs="Times New Roman"/>
                <w:color w:val="000000"/>
              </w:rPr>
            </w:pPr>
            <w:r w:rsidRPr="00AE1279">
              <w:rPr>
                <w:rFonts w:ascii="Times New Roman" w:hAnsi="Times New Roman" w:cs="Times New Roman"/>
                <w:color w:val="000000"/>
              </w:rPr>
              <w:t>2</w:t>
            </w:r>
            <w:r w:rsidR="004C4458" w:rsidRPr="00AE1279">
              <w:rPr>
                <w:rFonts w:ascii="Times New Roman" w:hAnsi="Times New Roman" w:cs="Times New Roman"/>
                <w:color w:val="000000"/>
              </w:rPr>
              <w:t>.</w:t>
            </w:r>
            <w:r w:rsidRPr="00AE1279">
              <w:rPr>
                <w:rFonts w:ascii="Times New Roman" w:hAnsi="Times New Roman" w:cs="Times New Roman"/>
                <w:color w:val="000000"/>
              </w:rPr>
              <w:t>0</w:t>
            </w:r>
          </w:p>
        </w:tc>
        <w:tc>
          <w:tcPr>
            <w:tcW w:w="593"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2.1</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3.8</w:t>
            </w:r>
          </w:p>
        </w:tc>
        <w:tc>
          <w:tcPr>
            <w:tcW w:w="667"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5.3</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E0091D">
            <w:pPr>
              <w:jc w:val="center"/>
              <w:rPr>
                <w:rFonts w:ascii="Times New Roman" w:hAnsi="Times New Roman" w:cs="Times New Roman"/>
                <w:bCs/>
                <w:color w:val="000000"/>
              </w:rPr>
            </w:pPr>
            <w:r w:rsidRPr="00AE1279">
              <w:rPr>
                <w:rFonts w:ascii="Times New Roman" w:hAnsi="Times New Roman" w:cs="Times New Roman"/>
                <w:bCs/>
                <w:color w:val="000000"/>
              </w:rPr>
              <w:t>3.</w:t>
            </w:r>
            <w:r w:rsidR="00E0091D">
              <w:rPr>
                <w:rFonts w:ascii="Times New Roman" w:hAnsi="Times New Roman" w:cs="Times New Roman"/>
                <w:bCs/>
                <w:color w:val="000000"/>
              </w:rPr>
              <w:t>4</w:t>
            </w:r>
          </w:p>
        </w:tc>
      </w:tr>
      <w:tr w:rsidR="004C4458" w:rsidRPr="00BF4ADF" w:rsidTr="004A41F0">
        <w:trPr>
          <w:trHeight w:val="300"/>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rPr>
                <w:rFonts w:ascii="Times New Roman" w:hAnsi="Times New Roman" w:cs="Times New Roman"/>
                <w:bCs/>
                <w:color w:val="000000"/>
              </w:rPr>
            </w:pPr>
            <w:r w:rsidRPr="004A41F0">
              <w:rPr>
                <w:rFonts w:ascii="Times New Roman" w:hAnsi="Times New Roman" w:cs="Times New Roman"/>
                <w:bCs/>
                <w:color w:val="000000"/>
              </w:rPr>
              <w:t>Импорт</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5.9</w:t>
            </w:r>
          </w:p>
        </w:tc>
        <w:tc>
          <w:tcPr>
            <w:tcW w:w="593"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5.1</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3.8</w:t>
            </w:r>
          </w:p>
        </w:tc>
        <w:tc>
          <w:tcPr>
            <w:tcW w:w="667"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2.5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4C4458">
            <w:pPr>
              <w:jc w:val="center"/>
              <w:rPr>
                <w:rFonts w:ascii="Times New Roman" w:hAnsi="Times New Roman" w:cs="Times New Roman"/>
                <w:bCs/>
                <w:color w:val="000000"/>
              </w:rPr>
            </w:pPr>
            <w:r w:rsidRPr="00AE1279">
              <w:rPr>
                <w:rFonts w:ascii="Times New Roman" w:hAnsi="Times New Roman" w:cs="Times New Roman"/>
                <w:bCs/>
                <w:color w:val="000000"/>
              </w:rPr>
              <w:t>4.1</w:t>
            </w:r>
          </w:p>
        </w:tc>
      </w:tr>
      <w:tr w:rsidR="004C4458" w:rsidRPr="00BF4ADF" w:rsidTr="004A41F0">
        <w:trPr>
          <w:trHeight w:val="300"/>
        </w:trPr>
        <w:tc>
          <w:tcPr>
            <w:tcW w:w="1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4A41F0" w:rsidRDefault="004C4458" w:rsidP="004C4458">
            <w:pPr>
              <w:rPr>
                <w:rFonts w:ascii="Times New Roman" w:hAnsi="Times New Roman" w:cs="Times New Roman"/>
                <w:bCs/>
                <w:color w:val="000000"/>
              </w:rPr>
            </w:pPr>
            <w:r w:rsidRPr="004A41F0">
              <w:rPr>
                <w:rFonts w:ascii="Times New Roman" w:hAnsi="Times New Roman" w:cs="Times New Roman"/>
                <w:bCs/>
                <w:color w:val="000000"/>
              </w:rPr>
              <w:t>ВВП</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4C4458" w:rsidRPr="00AE1279" w:rsidRDefault="00AE1279" w:rsidP="007E0940">
            <w:pPr>
              <w:jc w:val="center"/>
              <w:rPr>
                <w:rFonts w:ascii="Times New Roman" w:hAnsi="Times New Roman" w:cs="Times New Roman"/>
                <w:color w:val="000000"/>
              </w:rPr>
            </w:pPr>
            <w:r w:rsidRPr="00AE1279">
              <w:rPr>
                <w:rFonts w:ascii="Times New Roman" w:hAnsi="Times New Roman" w:cs="Times New Roman"/>
                <w:color w:val="000000"/>
              </w:rPr>
              <w:t>3</w:t>
            </w:r>
            <w:r w:rsidR="004C4458" w:rsidRPr="00AE1279">
              <w:rPr>
                <w:rFonts w:ascii="Times New Roman" w:hAnsi="Times New Roman" w:cs="Times New Roman"/>
                <w:color w:val="000000"/>
              </w:rPr>
              <w:t>.</w:t>
            </w:r>
            <w:r w:rsidR="007E0940">
              <w:rPr>
                <w:rFonts w:ascii="Times New Roman" w:hAnsi="Times New Roman" w:cs="Times New Roman"/>
                <w:color w:val="000000"/>
              </w:rPr>
              <w:t>0</w:t>
            </w:r>
          </w:p>
        </w:tc>
        <w:tc>
          <w:tcPr>
            <w:tcW w:w="593"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4.2</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7E0940">
            <w:pPr>
              <w:jc w:val="center"/>
              <w:rPr>
                <w:rFonts w:ascii="Times New Roman" w:hAnsi="Times New Roman" w:cs="Times New Roman"/>
                <w:color w:val="000000"/>
              </w:rPr>
            </w:pPr>
            <w:r w:rsidRPr="00AE1279">
              <w:rPr>
                <w:rFonts w:ascii="Times New Roman" w:hAnsi="Times New Roman" w:cs="Times New Roman"/>
                <w:color w:val="000000"/>
              </w:rPr>
              <w:t>3.</w:t>
            </w:r>
            <w:r w:rsidR="007E0940">
              <w:rPr>
                <w:rFonts w:ascii="Times New Roman" w:hAnsi="Times New Roman" w:cs="Times New Roman"/>
                <w:color w:val="000000"/>
              </w:rPr>
              <w:t>6</w:t>
            </w:r>
          </w:p>
        </w:tc>
        <w:tc>
          <w:tcPr>
            <w:tcW w:w="667" w:type="pct"/>
            <w:tcBorders>
              <w:top w:val="single" w:sz="4" w:space="0" w:color="auto"/>
              <w:left w:val="nil"/>
              <w:bottom w:val="single" w:sz="4" w:space="0" w:color="auto"/>
              <w:right w:val="nil"/>
            </w:tcBorders>
            <w:shd w:val="clear" w:color="auto" w:fill="auto"/>
            <w:noWrap/>
            <w:vAlign w:val="bottom"/>
            <w:hideMark/>
          </w:tcPr>
          <w:p w:rsidR="004C4458" w:rsidRPr="00AE1279" w:rsidRDefault="004C4458" w:rsidP="004C4458">
            <w:pPr>
              <w:jc w:val="center"/>
              <w:rPr>
                <w:rFonts w:ascii="Times New Roman" w:hAnsi="Times New Roman" w:cs="Times New Roman"/>
                <w:color w:val="000000"/>
              </w:rPr>
            </w:pPr>
            <w:r w:rsidRPr="00AE1279">
              <w:rPr>
                <w:rFonts w:ascii="Times New Roman" w:hAnsi="Times New Roman" w:cs="Times New Roman"/>
                <w:color w:val="000000"/>
              </w:rPr>
              <w:t>3.4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458" w:rsidRPr="00AE1279" w:rsidRDefault="004C4458" w:rsidP="00AE1279">
            <w:pPr>
              <w:jc w:val="center"/>
              <w:rPr>
                <w:rFonts w:ascii="Times New Roman" w:hAnsi="Times New Roman" w:cs="Times New Roman"/>
                <w:bCs/>
                <w:color w:val="000000"/>
              </w:rPr>
            </w:pPr>
            <w:r w:rsidRPr="00AE1279">
              <w:rPr>
                <w:rFonts w:ascii="Times New Roman" w:hAnsi="Times New Roman" w:cs="Times New Roman"/>
                <w:bCs/>
                <w:color w:val="000000"/>
              </w:rPr>
              <w:t>3.</w:t>
            </w:r>
            <w:r w:rsidR="00AE1279">
              <w:rPr>
                <w:rFonts w:ascii="Times New Roman" w:hAnsi="Times New Roman" w:cs="Times New Roman"/>
                <w:bCs/>
                <w:color w:val="000000"/>
              </w:rPr>
              <w:t>6</w:t>
            </w:r>
          </w:p>
        </w:tc>
      </w:tr>
    </w:tbl>
    <w:p w:rsidR="004C4458" w:rsidRPr="004C4458" w:rsidRDefault="004C4458" w:rsidP="004C4458">
      <w:pPr>
        <w:spacing w:line="360" w:lineRule="auto"/>
        <w:ind w:firstLine="567"/>
        <w:jc w:val="both"/>
        <w:rPr>
          <w:rFonts w:ascii="Times New Roman" w:hAnsi="Times New Roman" w:cs="Times New Roman"/>
          <w:i/>
        </w:rPr>
      </w:pPr>
      <w:r w:rsidRPr="004C4458">
        <w:rPr>
          <w:rFonts w:ascii="Times New Roman" w:hAnsi="Times New Roman" w:cs="Times New Roman"/>
          <w:i/>
        </w:rPr>
        <w:t>Источник: расчеты ИНП РАН</w:t>
      </w:r>
    </w:p>
    <w:p w:rsidR="004C4458" w:rsidRPr="004A41F0" w:rsidRDefault="004C4458" w:rsidP="004C4458">
      <w:pPr>
        <w:spacing w:line="360" w:lineRule="auto"/>
        <w:ind w:firstLine="567"/>
        <w:jc w:val="both"/>
        <w:rPr>
          <w:rFonts w:ascii="Times New Roman" w:hAnsi="Times New Roman" w:cs="Times New Roman"/>
          <w:sz w:val="28"/>
          <w:szCs w:val="28"/>
        </w:rPr>
      </w:pPr>
      <w:r w:rsidRPr="004A41F0">
        <w:rPr>
          <w:rFonts w:ascii="Times New Roman" w:hAnsi="Times New Roman" w:cs="Times New Roman"/>
          <w:sz w:val="28"/>
          <w:szCs w:val="28"/>
        </w:rPr>
        <w:t xml:space="preserve">Оценивая возможный вклад в формирование ВВП </w:t>
      </w:r>
      <w:r w:rsidR="00AE1279">
        <w:rPr>
          <w:rFonts w:ascii="Times New Roman" w:hAnsi="Times New Roman" w:cs="Times New Roman"/>
          <w:sz w:val="28"/>
          <w:szCs w:val="28"/>
        </w:rPr>
        <w:t>отдельных факторов</w:t>
      </w:r>
      <w:r w:rsidRPr="004A41F0">
        <w:rPr>
          <w:rFonts w:ascii="Times New Roman" w:hAnsi="Times New Roman" w:cs="Times New Roman"/>
          <w:sz w:val="28"/>
          <w:szCs w:val="28"/>
        </w:rPr>
        <w:t xml:space="preserve"> развития экономики можно сделать вывод о том, что параметры экономической политики являются более значимым фактором, по сравнению с конъюнктурой мировых рынков. Особенно, в кратко- и среднесрочной перспективе.</w:t>
      </w:r>
      <w:r w:rsidR="00AE1279">
        <w:rPr>
          <w:rFonts w:ascii="Times New Roman" w:hAnsi="Times New Roman" w:cs="Times New Roman"/>
          <w:sz w:val="28"/>
          <w:szCs w:val="28"/>
        </w:rPr>
        <w:t xml:space="preserve"> Например, сценарий реализации структурно-инвестиционной политики </w:t>
      </w:r>
      <w:r w:rsidR="00E0091D">
        <w:rPr>
          <w:rFonts w:ascii="Times New Roman" w:hAnsi="Times New Roman" w:cs="Times New Roman"/>
          <w:sz w:val="28"/>
          <w:szCs w:val="28"/>
        </w:rPr>
        <w:t xml:space="preserve">в условиях постепенного улучшения внешнеэкономической конъюнктуры (средние цены на нефть на прогнозном периоде составляют 75 </w:t>
      </w:r>
      <w:proofErr w:type="spellStart"/>
      <w:proofErr w:type="gramStart"/>
      <w:r w:rsidR="00E0091D">
        <w:rPr>
          <w:rFonts w:ascii="Times New Roman" w:hAnsi="Times New Roman" w:cs="Times New Roman"/>
          <w:sz w:val="28"/>
          <w:szCs w:val="28"/>
        </w:rPr>
        <w:t>долл</w:t>
      </w:r>
      <w:proofErr w:type="spellEnd"/>
      <w:proofErr w:type="gramEnd"/>
      <w:r w:rsidR="00E0091D">
        <w:rPr>
          <w:rFonts w:ascii="Times New Roman" w:hAnsi="Times New Roman" w:cs="Times New Roman"/>
          <w:sz w:val="28"/>
          <w:szCs w:val="28"/>
        </w:rPr>
        <w:t>/</w:t>
      </w:r>
      <w:proofErr w:type="spellStart"/>
      <w:r w:rsidR="00E0091D">
        <w:rPr>
          <w:rFonts w:ascii="Times New Roman" w:hAnsi="Times New Roman" w:cs="Times New Roman"/>
          <w:sz w:val="28"/>
          <w:szCs w:val="28"/>
        </w:rPr>
        <w:t>барр</w:t>
      </w:r>
      <w:proofErr w:type="spellEnd"/>
      <w:r w:rsidR="00E0091D">
        <w:rPr>
          <w:rFonts w:ascii="Times New Roman" w:hAnsi="Times New Roman" w:cs="Times New Roman"/>
          <w:sz w:val="28"/>
          <w:szCs w:val="28"/>
        </w:rPr>
        <w:t xml:space="preserve">. в ценах 2017 г.) </w:t>
      </w:r>
      <w:r w:rsidRPr="004A41F0">
        <w:rPr>
          <w:rFonts w:ascii="Times New Roman" w:hAnsi="Times New Roman" w:cs="Times New Roman"/>
          <w:sz w:val="28"/>
          <w:szCs w:val="28"/>
        </w:rPr>
        <w:t>позволяет в период 2017-2035 гг. обеспечить среднегодовые темпы роста ВВП в 3,</w:t>
      </w:r>
      <w:r w:rsidR="00AE1279">
        <w:rPr>
          <w:rFonts w:ascii="Times New Roman" w:hAnsi="Times New Roman" w:cs="Times New Roman"/>
          <w:sz w:val="28"/>
          <w:szCs w:val="28"/>
        </w:rPr>
        <w:t>6</w:t>
      </w:r>
      <w:r w:rsidRPr="004A41F0">
        <w:rPr>
          <w:rFonts w:ascii="Times New Roman" w:hAnsi="Times New Roman" w:cs="Times New Roman"/>
          <w:sz w:val="28"/>
          <w:szCs w:val="28"/>
        </w:rPr>
        <w:t>%. Из них,</w:t>
      </w:r>
      <w:r w:rsidR="007E0940">
        <w:rPr>
          <w:rFonts w:ascii="Times New Roman" w:hAnsi="Times New Roman" w:cs="Times New Roman"/>
          <w:sz w:val="28"/>
          <w:szCs w:val="28"/>
        </w:rPr>
        <w:t xml:space="preserve"> только 0,8 процентных пункта (</w:t>
      </w:r>
      <w:r w:rsidRPr="004A41F0">
        <w:rPr>
          <w:rFonts w:ascii="Times New Roman" w:hAnsi="Times New Roman" w:cs="Times New Roman"/>
          <w:sz w:val="28"/>
          <w:szCs w:val="28"/>
        </w:rPr>
        <w:t xml:space="preserve">или чуть больше 20% роста) будет связано с улучшением </w:t>
      </w:r>
      <w:r w:rsidRPr="004A41F0">
        <w:rPr>
          <w:rFonts w:ascii="Times New Roman" w:hAnsi="Times New Roman" w:cs="Times New Roman"/>
          <w:sz w:val="28"/>
          <w:szCs w:val="28"/>
        </w:rPr>
        <w:lastRenderedPageBreak/>
        <w:t xml:space="preserve">внешнеэкономической конъюнктуры, а 1,4 процентных пункта будут обеспечены изменением параметров денежно-кредитной и бюджетной политики, </w:t>
      </w:r>
      <w:r w:rsidR="00E0091D">
        <w:rPr>
          <w:rFonts w:ascii="Times New Roman" w:hAnsi="Times New Roman" w:cs="Times New Roman"/>
          <w:sz w:val="28"/>
          <w:szCs w:val="28"/>
        </w:rPr>
        <w:t>трансформациями</w:t>
      </w:r>
      <w:r w:rsidRPr="004A41F0">
        <w:rPr>
          <w:rFonts w:ascii="Times New Roman" w:hAnsi="Times New Roman" w:cs="Times New Roman"/>
          <w:sz w:val="28"/>
          <w:szCs w:val="28"/>
        </w:rPr>
        <w:t xml:space="preserve"> в структуре экономики.</w:t>
      </w:r>
    </w:p>
    <w:p w:rsidR="004C4458" w:rsidRPr="004A41F0" w:rsidRDefault="004C4458" w:rsidP="004C4458">
      <w:pPr>
        <w:spacing w:line="360" w:lineRule="auto"/>
        <w:ind w:firstLine="567"/>
        <w:jc w:val="both"/>
        <w:rPr>
          <w:rFonts w:ascii="Times New Roman" w:hAnsi="Times New Roman" w:cs="Times New Roman"/>
          <w:sz w:val="28"/>
          <w:szCs w:val="28"/>
        </w:rPr>
      </w:pPr>
      <w:r w:rsidRPr="004A41F0">
        <w:rPr>
          <w:rFonts w:ascii="Times New Roman" w:hAnsi="Times New Roman" w:cs="Times New Roman"/>
          <w:sz w:val="28"/>
          <w:szCs w:val="28"/>
        </w:rPr>
        <w:t xml:space="preserve">Наибольший вклад мер в области экономической политики в формирование экономической динамики </w:t>
      </w:r>
      <w:r w:rsidR="00E0091D">
        <w:rPr>
          <w:rFonts w:ascii="Times New Roman" w:hAnsi="Times New Roman" w:cs="Times New Roman"/>
          <w:sz w:val="28"/>
          <w:szCs w:val="28"/>
        </w:rPr>
        <w:t>может</w:t>
      </w:r>
      <w:r w:rsidRPr="004A41F0">
        <w:rPr>
          <w:rFonts w:ascii="Times New Roman" w:hAnsi="Times New Roman" w:cs="Times New Roman"/>
          <w:sz w:val="28"/>
          <w:szCs w:val="28"/>
        </w:rPr>
        <w:t xml:space="preserve"> отмечаться в п</w:t>
      </w:r>
      <w:r w:rsidR="00E0091D">
        <w:rPr>
          <w:rFonts w:ascii="Times New Roman" w:hAnsi="Times New Roman" w:cs="Times New Roman"/>
          <w:sz w:val="28"/>
          <w:szCs w:val="28"/>
        </w:rPr>
        <w:t>ериод 2021-2025 гг., когда на основе последовательного развития инструментов</w:t>
      </w:r>
      <w:r w:rsidRPr="004A41F0">
        <w:rPr>
          <w:rFonts w:ascii="Times New Roman" w:hAnsi="Times New Roman" w:cs="Times New Roman"/>
          <w:sz w:val="28"/>
          <w:szCs w:val="28"/>
        </w:rPr>
        <w:t xml:space="preserve"> </w:t>
      </w:r>
      <w:r w:rsidR="00E0091D">
        <w:rPr>
          <w:rFonts w:ascii="Times New Roman" w:hAnsi="Times New Roman" w:cs="Times New Roman"/>
          <w:sz w:val="28"/>
          <w:szCs w:val="28"/>
        </w:rPr>
        <w:t xml:space="preserve">финансирования и институтов развития будет </w:t>
      </w:r>
      <w:r w:rsidRPr="004A41F0">
        <w:rPr>
          <w:rFonts w:ascii="Times New Roman" w:hAnsi="Times New Roman" w:cs="Times New Roman"/>
          <w:sz w:val="28"/>
          <w:szCs w:val="28"/>
        </w:rPr>
        <w:t>увеличиваться внутренний инвестиционный спрос и повышаться параметры эффективности российской экономики.</w:t>
      </w:r>
    </w:p>
    <w:p w:rsidR="004C4458" w:rsidRPr="004A41F0" w:rsidRDefault="00E0091D" w:rsidP="004C44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Сценарные прогнозные расчеты показывают, что н</w:t>
      </w:r>
      <w:r w:rsidR="004C4458" w:rsidRPr="004A41F0">
        <w:rPr>
          <w:rFonts w:ascii="Times New Roman" w:hAnsi="Times New Roman" w:cs="Times New Roman"/>
          <w:sz w:val="28"/>
          <w:szCs w:val="28"/>
        </w:rPr>
        <w:t xml:space="preserve">еприемлемость низких темпов экономического роста в период 2017-2025 гг. </w:t>
      </w:r>
      <w:r>
        <w:rPr>
          <w:rFonts w:ascii="Times New Roman" w:hAnsi="Times New Roman" w:cs="Times New Roman"/>
          <w:sz w:val="28"/>
          <w:szCs w:val="28"/>
        </w:rPr>
        <w:t xml:space="preserve">также </w:t>
      </w:r>
      <w:r w:rsidR="004C4458" w:rsidRPr="004A41F0">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004C4458" w:rsidRPr="004A41F0">
        <w:rPr>
          <w:rFonts w:ascii="Times New Roman" w:hAnsi="Times New Roman" w:cs="Times New Roman"/>
          <w:sz w:val="28"/>
          <w:szCs w:val="28"/>
        </w:rPr>
        <w:t xml:space="preserve">низкой эластичностью экономики по изменению внешнеэкономической конъюнктуры. </w:t>
      </w:r>
      <w:r>
        <w:rPr>
          <w:rFonts w:ascii="Times New Roman" w:hAnsi="Times New Roman" w:cs="Times New Roman"/>
          <w:sz w:val="28"/>
          <w:szCs w:val="28"/>
        </w:rPr>
        <w:t>Д</w:t>
      </w:r>
      <w:r w:rsidR="004C4458" w:rsidRPr="004A41F0">
        <w:rPr>
          <w:rFonts w:ascii="Times New Roman" w:hAnsi="Times New Roman" w:cs="Times New Roman"/>
          <w:sz w:val="28"/>
          <w:szCs w:val="28"/>
        </w:rPr>
        <w:t>аже</w:t>
      </w:r>
      <w:r>
        <w:rPr>
          <w:rFonts w:ascii="Times New Roman" w:hAnsi="Times New Roman" w:cs="Times New Roman"/>
          <w:sz w:val="28"/>
          <w:szCs w:val="28"/>
        </w:rPr>
        <w:t xml:space="preserve"> значимый</w:t>
      </w:r>
      <w:r w:rsidR="004C4458" w:rsidRPr="004A41F0">
        <w:rPr>
          <w:rFonts w:ascii="Times New Roman" w:hAnsi="Times New Roman" w:cs="Times New Roman"/>
          <w:sz w:val="28"/>
          <w:szCs w:val="28"/>
        </w:rPr>
        <w:t xml:space="preserve"> рост цен на нефть в условиях жестких параметров денежно кредитной и бюджетной политики не позволит обеспечить темпы экономического роста выше 1,5-2,0% в год, а восстановление экономики будет носить относительно неустойчивый характер с нарастанием ограничений развития бюджетного и финансового характера.</w:t>
      </w:r>
    </w:p>
    <w:p w:rsidR="004C4458" w:rsidRPr="004A41F0" w:rsidRDefault="004C4458" w:rsidP="00E0091D">
      <w:pPr>
        <w:spacing w:line="360" w:lineRule="auto"/>
        <w:ind w:firstLine="567"/>
        <w:jc w:val="both"/>
        <w:rPr>
          <w:rFonts w:ascii="Times New Roman" w:hAnsi="Times New Roman" w:cs="Times New Roman"/>
          <w:sz w:val="28"/>
          <w:szCs w:val="28"/>
        </w:rPr>
      </w:pPr>
      <w:r w:rsidRPr="004A41F0">
        <w:rPr>
          <w:rFonts w:ascii="Times New Roman" w:hAnsi="Times New Roman" w:cs="Times New Roman"/>
          <w:sz w:val="28"/>
          <w:szCs w:val="28"/>
        </w:rPr>
        <w:t xml:space="preserve">Наибольший вклад активная экономическая политика способна оказывать на динамику внутреннего спроса, в первую очередь инвестиционного, а затем и потребительского. </w:t>
      </w:r>
    </w:p>
    <w:p w:rsidR="004C4458" w:rsidRPr="004A41F0" w:rsidRDefault="004C4458" w:rsidP="007E0940">
      <w:pPr>
        <w:spacing w:line="360" w:lineRule="auto"/>
        <w:ind w:firstLine="567"/>
        <w:jc w:val="both"/>
        <w:rPr>
          <w:rFonts w:ascii="Times New Roman" w:hAnsi="Times New Roman" w:cs="Times New Roman"/>
          <w:sz w:val="28"/>
          <w:szCs w:val="28"/>
        </w:rPr>
      </w:pPr>
      <w:r w:rsidRPr="004A41F0">
        <w:rPr>
          <w:rFonts w:ascii="Times New Roman" w:hAnsi="Times New Roman" w:cs="Times New Roman"/>
          <w:sz w:val="28"/>
          <w:szCs w:val="28"/>
        </w:rPr>
        <w:t>Если рассмотреть структуру вкладов отдельных видов экономической деятельност</w:t>
      </w:r>
      <w:r w:rsidR="007E0940">
        <w:rPr>
          <w:rFonts w:ascii="Times New Roman" w:hAnsi="Times New Roman" w:cs="Times New Roman"/>
          <w:sz w:val="28"/>
          <w:szCs w:val="28"/>
        </w:rPr>
        <w:t xml:space="preserve">и в формирование ВВП (Таблица </w:t>
      </w:r>
      <w:r w:rsidRPr="004A41F0">
        <w:rPr>
          <w:rFonts w:ascii="Times New Roman" w:hAnsi="Times New Roman" w:cs="Times New Roman"/>
          <w:sz w:val="28"/>
          <w:szCs w:val="28"/>
        </w:rPr>
        <w:t>2), то можно отметить существенный ро</w:t>
      </w:r>
      <w:proofErr w:type="gramStart"/>
      <w:r w:rsidRPr="004A41F0">
        <w:rPr>
          <w:rFonts w:ascii="Times New Roman" w:hAnsi="Times New Roman" w:cs="Times New Roman"/>
          <w:sz w:val="28"/>
          <w:szCs w:val="28"/>
        </w:rPr>
        <w:t>ст вкл</w:t>
      </w:r>
      <w:proofErr w:type="gramEnd"/>
      <w:r w:rsidRPr="004A41F0">
        <w:rPr>
          <w:rFonts w:ascii="Times New Roman" w:hAnsi="Times New Roman" w:cs="Times New Roman"/>
          <w:sz w:val="28"/>
          <w:szCs w:val="28"/>
        </w:rPr>
        <w:t>ада в формирование ВВП со стороны образования, здравоохранения и НИОКР. При этом</w:t>
      </w:r>
      <w:proofErr w:type="gramStart"/>
      <w:r w:rsidRPr="004A41F0">
        <w:rPr>
          <w:rFonts w:ascii="Times New Roman" w:hAnsi="Times New Roman" w:cs="Times New Roman"/>
          <w:sz w:val="28"/>
          <w:szCs w:val="28"/>
        </w:rPr>
        <w:t>,</w:t>
      </w:r>
      <w:proofErr w:type="gramEnd"/>
      <w:r w:rsidRPr="004A41F0">
        <w:rPr>
          <w:rFonts w:ascii="Times New Roman" w:hAnsi="Times New Roman" w:cs="Times New Roman"/>
          <w:sz w:val="28"/>
          <w:szCs w:val="28"/>
        </w:rPr>
        <w:t xml:space="preserve"> рост ВВП становится более сбалансированным (за исключением существенного снижения вклада в рост ВВП со стороны сельского хозяйства). </w:t>
      </w:r>
    </w:p>
    <w:p w:rsidR="004C4458" w:rsidRPr="007E0940" w:rsidRDefault="007E0940" w:rsidP="004C4458">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Таблица </w:t>
      </w:r>
      <w:r w:rsidR="004C4458" w:rsidRPr="007E0940">
        <w:rPr>
          <w:rFonts w:ascii="Times New Roman" w:hAnsi="Times New Roman" w:cs="Times New Roman"/>
          <w:b/>
          <w:sz w:val="28"/>
          <w:szCs w:val="28"/>
        </w:rPr>
        <w:t>2</w:t>
      </w:r>
      <w:r w:rsidR="004C4458" w:rsidRPr="007E0940">
        <w:rPr>
          <w:rFonts w:ascii="Times New Roman" w:hAnsi="Times New Roman" w:cs="Times New Roman"/>
          <w:sz w:val="28"/>
          <w:szCs w:val="28"/>
        </w:rPr>
        <w:t xml:space="preserve"> Вклады отдельных секторов</w:t>
      </w:r>
      <w:r>
        <w:rPr>
          <w:rFonts w:ascii="Times New Roman" w:hAnsi="Times New Roman" w:cs="Times New Roman"/>
          <w:sz w:val="28"/>
          <w:szCs w:val="28"/>
        </w:rPr>
        <w:t xml:space="preserve"> экономики</w:t>
      </w:r>
      <w:r w:rsidR="004C4458" w:rsidRPr="007E0940">
        <w:rPr>
          <w:rFonts w:ascii="Times New Roman" w:hAnsi="Times New Roman" w:cs="Times New Roman"/>
          <w:sz w:val="28"/>
          <w:szCs w:val="28"/>
        </w:rPr>
        <w:t xml:space="preserve"> в прирост ВВП по вариантам </w:t>
      </w:r>
    </w:p>
    <w:tbl>
      <w:tblPr>
        <w:tblW w:w="48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3"/>
        <w:gridCol w:w="992"/>
        <w:gridCol w:w="849"/>
        <w:gridCol w:w="1138"/>
        <w:gridCol w:w="811"/>
        <w:gridCol w:w="811"/>
      </w:tblGrid>
      <w:tr w:rsidR="007E0940" w:rsidRPr="007E0940" w:rsidTr="007E0940">
        <w:trPr>
          <w:trHeight w:val="330"/>
        </w:trPr>
        <w:tc>
          <w:tcPr>
            <w:tcW w:w="2521" w:type="pct"/>
            <w:shd w:val="clear" w:color="auto" w:fill="auto"/>
            <w:noWrap/>
            <w:vAlign w:val="bottom"/>
            <w:hideMark/>
          </w:tcPr>
          <w:p w:rsidR="007E0940" w:rsidRPr="007E0940" w:rsidRDefault="007E0940" w:rsidP="004C4458">
            <w:pPr>
              <w:jc w:val="center"/>
              <w:rPr>
                <w:rFonts w:ascii="Times New Roman" w:hAnsi="Times New Roman" w:cs="Times New Roman"/>
                <w:bCs/>
              </w:rPr>
            </w:pPr>
            <w:r w:rsidRPr="007E0940">
              <w:rPr>
                <w:rFonts w:ascii="Times New Roman" w:hAnsi="Times New Roman" w:cs="Times New Roman"/>
                <w:bCs/>
              </w:rPr>
              <w:t> </w:t>
            </w:r>
          </w:p>
        </w:tc>
        <w:tc>
          <w:tcPr>
            <w:tcW w:w="534" w:type="pct"/>
            <w:shd w:val="clear" w:color="auto" w:fill="auto"/>
            <w:noWrap/>
            <w:vAlign w:val="bottom"/>
            <w:hideMark/>
          </w:tcPr>
          <w:p w:rsidR="007E0940" w:rsidRPr="007E0940" w:rsidRDefault="007E0940" w:rsidP="004C4458">
            <w:pPr>
              <w:jc w:val="center"/>
              <w:rPr>
                <w:rFonts w:ascii="Times New Roman" w:hAnsi="Times New Roman" w:cs="Times New Roman"/>
              </w:rPr>
            </w:pPr>
            <w:r w:rsidRPr="007E0940">
              <w:rPr>
                <w:rFonts w:ascii="Times New Roman" w:hAnsi="Times New Roman" w:cs="Times New Roman"/>
              </w:rPr>
              <w:t>2017-2020</w:t>
            </w:r>
          </w:p>
        </w:tc>
        <w:tc>
          <w:tcPr>
            <w:tcW w:w="45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202</w:t>
            </w:r>
            <w:r>
              <w:rPr>
                <w:rFonts w:ascii="Times New Roman" w:hAnsi="Times New Roman" w:cs="Times New Roman"/>
              </w:rPr>
              <w:t>1</w:t>
            </w:r>
            <w:r w:rsidRPr="007E0940">
              <w:rPr>
                <w:rFonts w:ascii="Times New Roman" w:hAnsi="Times New Roman" w:cs="Times New Roman"/>
              </w:rPr>
              <w:t>-2025</w:t>
            </w:r>
          </w:p>
        </w:tc>
        <w:tc>
          <w:tcPr>
            <w:tcW w:w="613"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202</w:t>
            </w:r>
            <w:r>
              <w:rPr>
                <w:rFonts w:ascii="Times New Roman" w:hAnsi="Times New Roman" w:cs="Times New Roman"/>
              </w:rPr>
              <w:t>6</w:t>
            </w:r>
            <w:r w:rsidRPr="007E0940">
              <w:rPr>
                <w:rFonts w:ascii="Times New Roman" w:hAnsi="Times New Roman" w:cs="Times New Roman"/>
              </w:rPr>
              <w:t>-2030</w:t>
            </w:r>
          </w:p>
        </w:tc>
        <w:tc>
          <w:tcPr>
            <w:tcW w:w="43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203</w:t>
            </w:r>
            <w:r>
              <w:rPr>
                <w:rFonts w:ascii="Times New Roman" w:hAnsi="Times New Roman" w:cs="Times New Roman"/>
              </w:rPr>
              <w:t>1</w:t>
            </w:r>
            <w:r w:rsidRPr="007E0940">
              <w:rPr>
                <w:rFonts w:ascii="Times New Roman" w:hAnsi="Times New Roman" w:cs="Times New Roman"/>
              </w:rPr>
              <w:t>-2035</w:t>
            </w:r>
          </w:p>
        </w:tc>
        <w:tc>
          <w:tcPr>
            <w:tcW w:w="437" w:type="pct"/>
            <w:vAlign w:val="bottom"/>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2017-2035</w:t>
            </w:r>
          </w:p>
        </w:tc>
      </w:tr>
      <w:tr w:rsidR="007E0940" w:rsidRPr="007E0940" w:rsidTr="007E0940">
        <w:trPr>
          <w:trHeight w:val="315"/>
        </w:trPr>
        <w:tc>
          <w:tcPr>
            <w:tcW w:w="2521" w:type="pct"/>
            <w:shd w:val="clear" w:color="auto" w:fill="auto"/>
            <w:noWrap/>
            <w:vAlign w:val="bottom"/>
            <w:hideMark/>
          </w:tcPr>
          <w:p w:rsidR="007E0940" w:rsidRPr="007E0940" w:rsidRDefault="007E0940" w:rsidP="004C4458">
            <w:pPr>
              <w:rPr>
                <w:rFonts w:ascii="Times New Roman" w:hAnsi="Times New Roman" w:cs="Times New Roman"/>
                <w:bCs/>
              </w:rPr>
            </w:pPr>
            <w:r w:rsidRPr="007E0940">
              <w:rPr>
                <w:rFonts w:ascii="Times New Roman" w:hAnsi="Times New Roman" w:cs="Times New Roman"/>
                <w:bCs/>
              </w:rPr>
              <w:t>Сельское хозяйство</w:t>
            </w:r>
          </w:p>
        </w:tc>
        <w:tc>
          <w:tcPr>
            <w:tcW w:w="534"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2.0</w:t>
            </w:r>
          </w:p>
        </w:tc>
        <w:tc>
          <w:tcPr>
            <w:tcW w:w="45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0.5</w:t>
            </w:r>
          </w:p>
        </w:tc>
        <w:tc>
          <w:tcPr>
            <w:tcW w:w="613"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0.5</w:t>
            </w:r>
          </w:p>
        </w:tc>
        <w:tc>
          <w:tcPr>
            <w:tcW w:w="43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0.4</w:t>
            </w:r>
          </w:p>
        </w:tc>
        <w:tc>
          <w:tcPr>
            <w:tcW w:w="437" w:type="pct"/>
            <w:vAlign w:val="bottom"/>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0.</w:t>
            </w:r>
            <w:r>
              <w:rPr>
                <w:rFonts w:ascii="Times New Roman" w:hAnsi="Times New Roman" w:cs="Times New Roman"/>
              </w:rPr>
              <w:t>4</w:t>
            </w:r>
          </w:p>
        </w:tc>
      </w:tr>
      <w:tr w:rsidR="007E0940" w:rsidRPr="007E0940" w:rsidTr="007E0940">
        <w:trPr>
          <w:trHeight w:val="315"/>
        </w:trPr>
        <w:tc>
          <w:tcPr>
            <w:tcW w:w="2521" w:type="pct"/>
            <w:shd w:val="clear" w:color="auto" w:fill="auto"/>
            <w:noWrap/>
            <w:vAlign w:val="bottom"/>
            <w:hideMark/>
          </w:tcPr>
          <w:p w:rsidR="007E0940" w:rsidRPr="007E0940" w:rsidRDefault="007E0940" w:rsidP="004C4458">
            <w:pPr>
              <w:rPr>
                <w:rFonts w:ascii="Times New Roman" w:hAnsi="Times New Roman" w:cs="Times New Roman"/>
                <w:bCs/>
              </w:rPr>
            </w:pPr>
            <w:r w:rsidRPr="007E0940">
              <w:rPr>
                <w:rFonts w:ascii="Times New Roman" w:hAnsi="Times New Roman" w:cs="Times New Roman"/>
                <w:bCs/>
              </w:rPr>
              <w:t>Производственные услуги</w:t>
            </w:r>
          </w:p>
        </w:tc>
        <w:tc>
          <w:tcPr>
            <w:tcW w:w="534"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38.3</w:t>
            </w:r>
          </w:p>
        </w:tc>
        <w:tc>
          <w:tcPr>
            <w:tcW w:w="45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25.5</w:t>
            </w:r>
          </w:p>
        </w:tc>
        <w:tc>
          <w:tcPr>
            <w:tcW w:w="613"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23.3</w:t>
            </w:r>
          </w:p>
        </w:tc>
        <w:tc>
          <w:tcPr>
            <w:tcW w:w="43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23.2</w:t>
            </w:r>
          </w:p>
        </w:tc>
        <w:tc>
          <w:tcPr>
            <w:tcW w:w="437" w:type="pct"/>
            <w:vAlign w:val="bottom"/>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26.0</w:t>
            </w:r>
          </w:p>
        </w:tc>
      </w:tr>
      <w:tr w:rsidR="007E0940" w:rsidRPr="007E0940" w:rsidTr="007E0940">
        <w:trPr>
          <w:trHeight w:val="315"/>
        </w:trPr>
        <w:tc>
          <w:tcPr>
            <w:tcW w:w="2521" w:type="pct"/>
            <w:shd w:val="clear" w:color="auto" w:fill="auto"/>
            <w:noWrap/>
            <w:vAlign w:val="bottom"/>
            <w:hideMark/>
          </w:tcPr>
          <w:p w:rsidR="007E0940" w:rsidRPr="007E0940" w:rsidRDefault="007E0940" w:rsidP="004C4458">
            <w:pPr>
              <w:rPr>
                <w:rFonts w:ascii="Times New Roman" w:hAnsi="Times New Roman" w:cs="Times New Roman"/>
                <w:bCs/>
              </w:rPr>
            </w:pPr>
            <w:r w:rsidRPr="007E0940">
              <w:rPr>
                <w:rFonts w:ascii="Times New Roman" w:hAnsi="Times New Roman" w:cs="Times New Roman"/>
                <w:bCs/>
              </w:rPr>
              <w:t>Непроизводственные услуги</w:t>
            </w:r>
          </w:p>
        </w:tc>
        <w:tc>
          <w:tcPr>
            <w:tcW w:w="534"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24.8</w:t>
            </w:r>
          </w:p>
        </w:tc>
        <w:tc>
          <w:tcPr>
            <w:tcW w:w="45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24.4</w:t>
            </w:r>
          </w:p>
        </w:tc>
        <w:tc>
          <w:tcPr>
            <w:tcW w:w="613"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23.3</w:t>
            </w:r>
          </w:p>
        </w:tc>
        <w:tc>
          <w:tcPr>
            <w:tcW w:w="43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28.4</w:t>
            </w:r>
          </w:p>
        </w:tc>
        <w:tc>
          <w:tcPr>
            <w:tcW w:w="437" w:type="pct"/>
            <w:vAlign w:val="bottom"/>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25.4</w:t>
            </w:r>
          </w:p>
        </w:tc>
      </w:tr>
      <w:tr w:rsidR="007E0940" w:rsidRPr="007E0940" w:rsidTr="007E0940">
        <w:trPr>
          <w:trHeight w:val="315"/>
        </w:trPr>
        <w:tc>
          <w:tcPr>
            <w:tcW w:w="2521" w:type="pct"/>
            <w:shd w:val="clear" w:color="auto" w:fill="auto"/>
            <w:noWrap/>
            <w:vAlign w:val="bottom"/>
            <w:hideMark/>
          </w:tcPr>
          <w:p w:rsidR="007E0940" w:rsidRPr="007E0940" w:rsidRDefault="007E0940" w:rsidP="004C4458">
            <w:pPr>
              <w:rPr>
                <w:rFonts w:ascii="Times New Roman" w:hAnsi="Times New Roman" w:cs="Times New Roman"/>
                <w:bCs/>
              </w:rPr>
            </w:pPr>
            <w:r w:rsidRPr="007E0940">
              <w:rPr>
                <w:rFonts w:ascii="Times New Roman" w:hAnsi="Times New Roman" w:cs="Times New Roman"/>
                <w:bCs/>
              </w:rPr>
              <w:t xml:space="preserve">Высоко и </w:t>
            </w:r>
            <w:proofErr w:type="spellStart"/>
            <w:r w:rsidRPr="007E0940">
              <w:rPr>
                <w:rFonts w:ascii="Times New Roman" w:hAnsi="Times New Roman" w:cs="Times New Roman"/>
                <w:bCs/>
              </w:rPr>
              <w:t>среднетехнологичные</w:t>
            </w:r>
            <w:proofErr w:type="spellEnd"/>
            <w:r w:rsidRPr="007E0940">
              <w:rPr>
                <w:rFonts w:ascii="Times New Roman" w:hAnsi="Times New Roman" w:cs="Times New Roman"/>
                <w:bCs/>
              </w:rPr>
              <w:t xml:space="preserve"> производства</w:t>
            </w:r>
          </w:p>
        </w:tc>
        <w:tc>
          <w:tcPr>
            <w:tcW w:w="534"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16.9</w:t>
            </w:r>
          </w:p>
        </w:tc>
        <w:tc>
          <w:tcPr>
            <w:tcW w:w="45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20.2</w:t>
            </w:r>
          </w:p>
        </w:tc>
        <w:tc>
          <w:tcPr>
            <w:tcW w:w="613"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22.6</w:t>
            </w:r>
          </w:p>
        </w:tc>
        <w:tc>
          <w:tcPr>
            <w:tcW w:w="43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21.7</w:t>
            </w:r>
          </w:p>
        </w:tc>
        <w:tc>
          <w:tcPr>
            <w:tcW w:w="437" w:type="pct"/>
            <w:vAlign w:val="bottom"/>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20.9</w:t>
            </w:r>
          </w:p>
        </w:tc>
      </w:tr>
      <w:tr w:rsidR="007E0940" w:rsidRPr="007E0940" w:rsidTr="007E0940">
        <w:trPr>
          <w:trHeight w:val="315"/>
        </w:trPr>
        <w:tc>
          <w:tcPr>
            <w:tcW w:w="2521" w:type="pct"/>
            <w:shd w:val="clear" w:color="auto" w:fill="auto"/>
            <w:noWrap/>
            <w:vAlign w:val="bottom"/>
            <w:hideMark/>
          </w:tcPr>
          <w:p w:rsidR="007E0940" w:rsidRPr="007E0940" w:rsidRDefault="007E0940" w:rsidP="004C4458">
            <w:pPr>
              <w:rPr>
                <w:rFonts w:ascii="Times New Roman" w:hAnsi="Times New Roman" w:cs="Times New Roman"/>
                <w:bCs/>
              </w:rPr>
            </w:pPr>
            <w:r w:rsidRPr="007E0940">
              <w:rPr>
                <w:rFonts w:ascii="Times New Roman" w:hAnsi="Times New Roman" w:cs="Times New Roman"/>
                <w:bCs/>
              </w:rPr>
              <w:t>Образование, здравоохранение, НИОКР</w:t>
            </w:r>
          </w:p>
        </w:tc>
        <w:tc>
          <w:tcPr>
            <w:tcW w:w="534"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8.5</w:t>
            </w:r>
          </w:p>
        </w:tc>
        <w:tc>
          <w:tcPr>
            <w:tcW w:w="45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7.9</w:t>
            </w:r>
          </w:p>
        </w:tc>
        <w:tc>
          <w:tcPr>
            <w:tcW w:w="613"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6.8</w:t>
            </w:r>
          </w:p>
        </w:tc>
        <w:tc>
          <w:tcPr>
            <w:tcW w:w="43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7.7</w:t>
            </w:r>
          </w:p>
        </w:tc>
        <w:tc>
          <w:tcPr>
            <w:tcW w:w="437" w:type="pct"/>
            <w:vAlign w:val="bottom"/>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7.6</w:t>
            </w:r>
          </w:p>
        </w:tc>
      </w:tr>
      <w:tr w:rsidR="007E0940" w:rsidRPr="007E0940" w:rsidTr="007E0940">
        <w:trPr>
          <w:trHeight w:val="315"/>
        </w:trPr>
        <w:tc>
          <w:tcPr>
            <w:tcW w:w="2521" w:type="pct"/>
            <w:shd w:val="clear" w:color="auto" w:fill="auto"/>
            <w:noWrap/>
            <w:vAlign w:val="bottom"/>
            <w:hideMark/>
          </w:tcPr>
          <w:p w:rsidR="007E0940" w:rsidRPr="007E0940" w:rsidRDefault="007E0940" w:rsidP="004C4458">
            <w:pPr>
              <w:rPr>
                <w:rFonts w:ascii="Times New Roman" w:hAnsi="Times New Roman" w:cs="Times New Roman"/>
                <w:bCs/>
              </w:rPr>
            </w:pPr>
            <w:r w:rsidRPr="007E0940">
              <w:rPr>
                <w:rFonts w:ascii="Times New Roman" w:hAnsi="Times New Roman" w:cs="Times New Roman"/>
                <w:bCs/>
              </w:rPr>
              <w:t>Прочие производства</w:t>
            </w:r>
          </w:p>
        </w:tc>
        <w:tc>
          <w:tcPr>
            <w:tcW w:w="534"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9.5</w:t>
            </w:r>
          </w:p>
        </w:tc>
        <w:tc>
          <w:tcPr>
            <w:tcW w:w="45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21.4</w:t>
            </w:r>
          </w:p>
        </w:tc>
        <w:tc>
          <w:tcPr>
            <w:tcW w:w="613"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23.6</w:t>
            </w:r>
          </w:p>
        </w:tc>
        <w:tc>
          <w:tcPr>
            <w:tcW w:w="437" w:type="pct"/>
            <w:shd w:val="clear" w:color="auto" w:fill="auto"/>
            <w:noWrap/>
            <w:vAlign w:val="bottom"/>
            <w:hideMark/>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19.4</w:t>
            </w:r>
          </w:p>
        </w:tc>
        <w:tc>
          <w:tcPr>
            <w:tcW w:w="437" w:type="pct"/>
            <w:vAlign w:val="bottom"/>
          </w:tcPr>
          <w:p w:rsidR="007E0940" w:rsidRPr="007E0940" w:rsidRDefault="007E0940" w:rsidP="007E0940">
            <w:pPr>
              <w:jc w:val="center"/>
              <w:rPr>
                <w:rFonts w:ascii="Times New Roman" w:hAnsi="Times New Roman" w:cs="Times New Roman"/>
              </w:rPr>
            </w:pPr>
            <w:r w:rsidRPr="007E0940">
              <w:rPr>
                <w:rFonts w:ascii="Times New Roman" w:hAnsi="Times New Roman" w:cs="Times New Roman"/>
              </w:rPr>
              <w:t>19.8</w:t>
            </w:r>
          </w:p>
        </w:tc>
      </w:tr>
    </w:tbl>
    <w:p w:rsidR="004C4458" w:rsidRPr="00EA5F50" w:rsidRDefault="004C4458" w:rsidP="004C4458">
      <w:pPr>
        <w:spacing w:line="360" w:lineRule="auto"/>
        <w:ind w:firstLine="567"/>
        <w:jc w:val="both"/>
        <w:rPr>
          <w:i/>
        </w:rPr>
      </w:pPr>
      <w:r w:rsidRPr="00EA5F50">
        <w:rPr>
          <w:i/>
        </w:rPr>
        <w:t>Источник: расчеты ИНП РАН</w:t>
      </w:r>
    </w:p>
    <w:p w:rsidR="004C4458" w:rsidRDefault="004C4458" w:rsidP="004C4458">
      <w:pPr>
        <w:spacing w:line="360" w:lineRule="auto"/>
        <w:ind w:firstLine="567"/>
        <w:jc w:val="both"/>
        <w:rPr>
          <w:rFonts w:ascii="Times New Roman" w:hAnsi="Times New Roman" w:cs="Times New Roman"/>
          <w:sz w:val="28"/>
          <w:szCs w:val="28"/>
        </w:rPr>
      </w:pPr>
      <w:r w:rsidRPr="007E0940">
        <w:rPr>
          <w:rFonts w:ascii="Times New Roman" w:hAnsi="Times New Roman" w:cs="Times New Roman"/>
          <w:sz w:val="28"/>
          <w:szCs w:val="28"/>
        </w:rPr>
        <w:t xml:space="preserve">В структуре производства основные эффекты </w:t>
      </w:r>
      <w:r w:rsidR="007E0940">
        <w:rPr>
          <w:rFonts w:ascii="Times New Roman" w:hAnsi="Times New Roman" w:cs="Times New Roman"/>
          <w:sz w:val="28"/>
          <w:szCs w:val="28"/>
        </w:rPr>
        <w:t>от реализации структурно-инвестиционной политики будут</w:t>
      </w:r>
      <w:r w:rsidRPr="007E0940">
        <w:rPr>
          <w:rFonts w:ascii="Times New Roman" w:hAnsi="Times New Roman" w:cs="Times New Roman"/>
          <w:sz w:val="28"/>
          <w:szCs w:val="28"/>
        </w:rPr>
        <w:t xml:space="preserve"> связаны с увеличением вклада высоко и </w:t>
      </w:r>
      <w:proofErr w:type="spellStart"/>
      <w:r w:rsidRPr="007E0940">
        <w:rPr>
          <w:rFonts w:ascii="Times New Roman" w:hAnsi="Times New Roman" w:cs="Times New Roman"/>
          <w:sz w:val="28"/>
          <w:szCs w:val="28"/>
        </w:rPr>
        <w:t>среднетехнологичных</w:t>
      </w:r>
      <w:proofErr w:type="spellEnd"/>
      <w:r w:rsidRPr="007E0940">
        <w:rPr>
          <w:rFonts w:ascii="Times New Roman" w:hAnsi="Times New Roman" w:cs="Times New Roman"/>
          <w:sz w:val="28"/>
          <w:szCs w:val="28"/>
        </w:rPr>
        <w:t xml:space="preserve"> секторов промышленности и сектора исследований и разработок. </w:t>
      </w:r>
    </w:p>
    <w:p w:rsidR="007E0940" w:rsidRPr="007E0940" w:rsidRDefault="007E0940" w:rsidP="004C445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рост российской экономики и преодоление ограничений развития структурного характера позволяет решить задачу существенной модернизации производственного аппарата и расширения возможностей для экспорта при сохранении устойчивого роста доходов и потребления населения. </w:t>
      </w:r>
      <w:r w:rsidR="00A83B3E">
        <w:rPr>
          <w:rFonts w:ascii="Times New Roman" w:hAnsi="Times New Roman" w:cs="Times New Roman"/>
          <w:sz w:val="28"/>
          <w:szCs w:val="28"/>
        </w:rPr>
        <w:t>В целом, потребление домашних хозяйств увеличивается за период 2018-2035 гг. почти в два раза.</w:t>
      </w:r>
    </w:p>
    <w:sectPr w:rsidR="007E0940" w:rsidRPr="007E0940" w:rsidSect="00AC5FDB">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3E7" w:rsidRDefault="003943E7" w:rsidP="00184F0B">
      <w:pPr>
        <w:spacing w:after="0" w:line="240" w:lineRule="auto"/>
      </w:pPr>
      <w:r>
        <w:separator/>
      </w:r>
    </w:p>
  </w:endnote>
  <w:endnote w:type="continuationSeparator" w:id="0">
    <w:p w:rsidR="003943E7" w:rsidRDefault="003943E7" w:rsidP="00184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64330"/>
      <w:docPartObj>
        <w:docPartGallery w:val="Page Numbers (Bottom of Page)"/>
        <w:docPartUnique/>
      </w:docPartObj>
    </w:sdtPr>
    <w:sdtContent>
      <w:p w:rsidR="007E0940" w:rsidRDefault="007E0940">
        <w:pPr>
          <w:pStyle w:val="Footer"/>
          <w:jc w:val="right"/>
        </w:pPr>
        <w:fldSimple w:instr=" PAGE   \* MERGEFORMAT ">
          <w:r w:rsidR="00D11EE1">
            <w:rPr>
              <w:noProof/>
            </w:rPr>
            <w:t>17</w:t>
          </w:r>
        </w:fldSimple>
      </w:p>
    </w:sdtContent>
  </w:sdt>
  <w:p w:rsidR="007E0940" w:rsidRDefault="007E0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3E7" w:rsidRDefault="003943E7" w:rsidP="00184F0B">
      <w:pPr>
        <w:spacing w:after="0" w:line="240" w:lineRule="auto"/>
      </w:pPr>
      <w:r>
        <w:separator/>
      </w:r>
    </w:p>
  </w:footnote>
  <w:footnote w:type="continuationSeparator" w:id="0">
    <w:p w:rsidR="003943E7" w:rsidRDefault="003943E7" w:rsidP="00184F0B">
      <w:pPr>
        <w:spacing w:after="0" w:line="240" w:lineRule="auto"/>
      </w:pPr>
      <w:r>
        <w:continuationSeparator/>
      </w:r>
    </w:p>
  </w:footnote>
  <w:footnote w:id="1">
    <w:p w:rsidR="00D11EE1" w:rsidRPr="00D11EE1" w:rsidRDefault="00D11EE1">
      <w:pPr>
        <w:pStyle w:val="FootnoteText"/>
        <w:rPr>
          <w:rFonts w:ascii="Times New Roman" w:hAnsi="Times New Roman" w:cs="Times New Roman"/>
        </w:rPr>
      </w:pPr>
      <w:r w:rsidRPr="00D11EE1">
        <w:rPr>
          <w:rStyle w:val="FootnoteReference"/>
          <w:rFonts w:ascii="Times New Roman" w:hAnsi="Times New Roman" w:cs="Times New Roman"/>
        </w:rPr>
        <w:footnoteRef/>
      </w:r>
      <w:r w:rsidRPr="00D11EE1">
        <w:rPr>
          <w:rFonts w:ascii="Times New Roman" w:hAnsi="Times New Roman" w:cs="Times New Roman"/>
        </w:rPr>
        <w:t xml:space="preserve"> Институт народнохозяйственного прогнозирования РАН</w:t>
      </w:r>
    </w:p>
  </w:footnote>
  <w:footnote w:id="2">
    <w:p w:rsidR="007E0940" w:rsidRPr="00184F0B" w:rsidRDefault="007E0940">
      <w:pPr>
        <w:pStyle w:val="FootnoteText"/>
        <w:rPr>
          <w:rFonts w:ascii="Times New Roman" w:hAnsi="Times New Roman" w:cs="Times New Roman"/>
        </w:rPr>
      </w:pPr>
      <w:r w:rsidRPr="00184F0B">
        <w:rPr>
          <w:rStyle w:val="FootnoteReference"/>
          <w:rFonts w:ascii="Times New Roman" w:hAnsi="Times New Roman" w:cs="Times New Roman"/>
        </w:rPr>
        <w:footnoteRef/>
      </w:r>
      <w:r w:rsidRPr="00184F0B">
        <w:rPr>
          <w:rFonts w:ascii="Times New Roman" w:hAnsi="Times New Roman" w:cs="Times New Roman"/>
        </w:rPr>
        <w:t xml:space="preserve"> В данном случае под сырьем мы понимаем не только сектор добычи полезных ископаемых, но и нефтепереработку, химическое производство, деревообработку.</w:t>
      </w:r>
    </w:p>
  </w:footnote>
  <w:footnote w:id="3">
    <w:p w:rsidR="00D11EE1" w:rsidRPr="00D11EE1" w:rsidRDefault="00D11EE1" w:rsidP="00D11EE1">
      <w:pPr>
        <w:pStyle w:val="FootnoteText"/>
        <w:rPr>
          <w:rFonts w:ascii="Times New Roman" w:hAnsi="Times New Roman" w:cs="Times New Roman"/>
        </w:rPr>
      </w:pPr>
      <w:r w:rsidRPr="00D11EE1">
        <w:rPr>
          <w:rStyle w:val="FootnoteReference"/>
          <w:rFonts w:ascii="Times New Roman" w:hAnsi="Times New Roman" w:cs="Times New Roman"/>
        </w:rPr>
        <w:footnoteRef/>
      </w:r>
      <w:r w:rsidRPr="00D11EE1">
        <w:rPr>
          <w:rFonts w:ascii="Times New Roman" w:hAnsi="Times New Roman" w:cs="Times New Roman"/>
        </w:rPr>
        <w:t xml:space="preserve"> </w:t>
      </w:r>
      <w:r w:rsidRPr="00D11EE1">
        <w:rPr>
          <w:rFonts w:ascii="Times New Roman" w:hAnsi="Times New Roman" w:cs="Times New Roman"/>
        </w:rPr>
        <w:t>Структурно-инвестиционн</w:t>
      </w:r>
      <w:r w:rsidRPr="00D11EE1">
        <w:rPr>
          <w:rFonts w:ascii="Times New Roman" w:hAnsi="Times New Roman" w:cs="Times New Roman"/>
        </w:rPr>
        <w:t xml:space="preserve">ая политика в целях обеспечения </w:t>
      </w:r>
      <w:r w:rsidRPr="00D11EE1">
        <w:rPr>
          <w:rFonts w:ascii="Times New Roman" w:hAnsi="Times New Roman" w:cs="Times New Roman"/>
        </w:rPr>
        <w:t>экономического роста в России: мо</w:t>
      </w:r>
      <w:r w:rsidRPr="00D11EE1">
        <w:rPr>
          <w:rFonts w:ascii="Times New Roman" w:hAnsi="Times New Roman" w:cs="Times New Roman"/>
        </w:rPr>
        <w:t>нография</w:t>
      </w:r>
      <w:proofErr w:type="gramStart"/>
      <w:r w:rsidRPr="00D11EE1">
        <w:rPr>
          <w:rFonts w:ascii="Times New Roman" w:hAnsi="Times New Roman" w:cs="Times New Roman"/>
        </w:rPr>
        <w:t xml:space="preserve"> / П</w:t>
      </w:r>
      <w:proofErr w:type="gramEnd"/>
      <w:r w:rsidRPr="00D11EE1">
        <w:rPr>
          <w:rFonts w:ascii="Times New Roman" w:hAnsi="Times New Roman" w:cs="Times New Roman"/>
        </w:rPr>
        <w:t xml:space="preserve">од </w:t>
      </w:r>
      <w:proofErr w:type="spellStart"/>
      <w:r w:rsidRPr="00D11EE1">
        <w:rPr>
          <w:rFonts w:ascii="Times New Roman" w:hAnsi="Times New Roman" w:cs="Times New Roman"/>
        </w:rPr>
        <w:t>науч</w:t>
      </w:r>
      <w:proofErr w:type="spellEnd"/>
      <w:r w:rsidRPr="00D11EE1">
        <w:rPr>
          <w:rFonts w:ascii="Times New Roman" w:hAnsi="Times New Roman" w:cs="Times New Roman"/>
        </w:rPr>
        <w:t>. ред. акад.</w:t>
      </w:r>
      <w:r w:rsidRPr="00D11EE1">
        <w:rPr>
          <w:rFonts w:ascii="Times New Roman" w:hAnsi="Times New Roman" w:cs="Times New Roman"/>
        </w:rPr>
        <w:t xml:space="preserve">В.В. </w:t>
      </w:r>
      <w:proofErr w:type="spellStart"/>
      <w:r w:rsidRPr="00D11EE1">
        <w:rPr>
          <w:rFonts w:ascii="Times New Roman" w:hAnsi="Times New Roman" w:cs="Times New Roman"/>
        </w:rPr>
        <w:t>Ивантера</w:t>
      </w:r>
      <w:proofErr w:type="spellEnd"/>
      <w:r w:rsidRPr="00D11EE1">
        <w:rPr>
          <w:rFonts w:ascii="Times New Roman" w:hAnsi="Times New Roman" w:cs="Times New Roman"/>
        </w:rPr>
        <w:t xml:space="preserve">. – М.: Научный консультант. – 2017. – 196 </w:t>
      </w:r>
      <w:proofErr w:type="gramStart"/>
      <w:r w:rsidRPr="00D11EE1">
        <w:rPr>
          <w:rFonts w:ascii="Times New Roman" w:hAnsi="Times New Roman" w:cs="Times New Roman"/>
        </w:rPr>
        <w:t>с</w:t>
      </w:r>
      <w:proofErr w:type="gramEnd"/>
      <w:r w:rsidRPr="00D11EE1">
        <w:rPr>
          <w:rFonts w:ascii="Times New Roman" w:hAnsi="Times New Roman" w:cs="Times New Roman"/>
        </w:rPr>
        <w:t>.</w:t>
      </w:r>
      <w:r w:rsidRPr="00D11EE1">
        <w:rPr>
          <w:rFonts w:ascii="Times New Roman" w:hAnsi="Times New Roman" w:cs="Times New Roman"/>
        </w:rPr>
        <w:cr/>
      </w:r>
    </w:p>
  </w:footnote>
  <w:footnote w:id="4">
    <w:p w:rsidR="007E0940" w:rsidRPr="00927027" w:rsidRDefault="007E0940" w:rsidP="00927027">
      <w:pPr>
        <w:pStyle w:val="-"/>
        <w:tabs>
          <w:tab w:val="clear" w:pos="284"/>
          <w:tab w:val="left" w:pos="113"/>
        </w:tabs>
        <w:ind w:left="0" w:firstLine="0"/>
        <w:rPr>
          <w:spacing w:val="-6"/>
          <w:lang w:val="ru-RU"/>
        </w:rPr>
      </w:pPr>
      <w:r>
        <w:rPr>
          <w:rStyle w:val="FootnoteReference"/>
        </w:rPr>
        <w:footnoteRef/>
      </w:r>
      <w:r w:rsidRPr="00927027">
        <w:rPr>
          <w:lang w:val="ru-RU"/>
        </w:rPr>
        <w:t xml:space="preserve"> В отличие от этого, массовые инвестиции направляются в развитие низко- и, намного реже, </w:t>
      </w:r>
      <w:proofErr w:type="spellStart"/>
      <w:r w:rsidRPr="00927027">
        <w:rPr>
          <w:lang w:val="ru-RU"/>
        </w:rPr>
        <w:t>среднетехнологичных</w:t>
      </w:r>
      <w:proofErr w:type="spellEnd"/>
      <w:r w:rsidRPr="00927027">
        <w:rPr>
          <w:lang w:val="ru-RU"/>
        </w:rPr>
        <w:t xml:space="preserve"> производств и видов экономической деятельности. </w:t>
      </w:r>
      <w:proofErr w:type="gramStart"/>
      <w:r w:rsidRPr="00927027">
        <w:rPr>
          <w:lang w:val="ru-RU"/>
        </w:rPr>
        <w:t>См</w:t>
      </w:r>
      <w:proofErr w:type="gramEnd"/>
      <w:r w:rsidRPr="00927027">
        <w:rPr>
          <w:lang w:val="ru-RU"/>
        </w:rPr>
        <w:t xml:space="preserve">: </w:t>
      </w:r>
      <w:r w:rsidRPr="004840AC">
        <w:rPr>
          <w:spacing w:val="-6"/>
          <w:lang w:val="ru-RU"/>
        </w:rPr>
        <w:t>Ярёменко Ю.В. Приоритеты структурной политики и опыт реформ. М</w:t>
      </w:r>
      <w:r w:rsidRPr="008213B2">
        <w:rPr>
          <w:spacing w:val="-6"/>
          <w:lang w:val="en-US"/>
        </w:rPr>
        <w:t xml:space="preserve">.: </w:t>
      </w:r>
      <w:r w:rsidRPr="004840AC">
        <w:rPr>
          <w:spacing w:val="-6"/>
          <w:lang w:val="ru-RU"/>
        </w:rPr>
        <w:t>Наука</w:t>
      </w:r>
      <w:r w:rsidRPr="008213B2">
        <w:rPr>
          <w:spacing w:val="-6"/>
          <w:lang w:val="en-US"/>
        </w:rPr>
        <w:t>, 1999.</w:t>
      </w:r>
      <w:r w:rsidRPr="002128C6">
        <w:t>.</w:t>
      </w:r>
    </w:p>
  </w:footnote>
  <w:footnote w:id="5">
    <w:p w:rsidR="007E0940" w:rsidRDefault="007E0940" w:rsidP="008213B2">
      <w:pPr>
        <w:pStyle w:val="FootnoteText"/>
      </w:pPr>
      <w:r w:rsidRPr="002128C6">
        <w:rPr>
          <w:rStyle w:val="FootnoteReference"/>
          <w:rFonts w:ascii="Times New Roman" w:hAnsi="Times New Roman" w:cs="Times New Roman"/>
        </w:rPr>
        <w:footnoteRef/>
      </w:r>
      <w:r w:rsidRPr="002128C6">
        <w:rPr>
          <w:rFonts w:ascii="Times New Roman" w:hAnsi="Times New Roman" w:cs="Times New Roman"/>
        </w:rPr>
        <w:t xml:space="preserve"> Там же.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1F4"/>
    <w:multiLevelType w:val="hybridMultilevel"/>
    <w:tmpl w:val="B154510E"/>
    <w:lvl w:ilvl="0" w:tplc="AAD8A1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EE75B3"/>
    <w:multiLevelType w:val="hybridMultilevel"/>
    <w:tmpl w:val="6C2A116A"/>
    <w:lvl w:ilvl="0" w:tplc="B18E3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B0489"/>
    <w:multiLevelType w:val="hybridMultilevel"/>
    <w:tmpl w:val="4ACAA60E"/>
    <w:lvl w:ilvl="0" w:tplc="B18E3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72898"/>
    <w:multiLevelType w:val="hybridMultilevel"/>
    <w:tmpl w:val="20B88BD6"/>
    <w:lvl w:ilvl="0" w:tplc="7D6AD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CA14FA"/>
    <w:multiLevelType w:val="hybridMultilevel"/>
    <w:tmpl w:val="0826196A"/>
    <w:lvl w:ilvl="0" w:tplc="9342C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902B69"/>
    <w:multiLevelType w:val="hybridMultilevel"/>
    <w:tmpl w:val="5CC45E8A"/>
    <w:lvl w:ilvl="0" w:tplc="847C19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A12E0C"/>
    <w:multiLevelType w:val="hybridMultilevel"/>
    <w:tmpl w:val="5FCEE2CA"/>
    <w:lvl w:ilvl="0" w:tplc="AAD8A1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BC6041"/>
    <w:multiLevelType w:val="hybridMultilevel"/>
    <w:tmpl w:val="AEFA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0D3E4A"/>
    <w:multiLevelType w:val="multilevel"/>
    <w:tmpl w:val="40AC73FA"/>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290"/>
        </w:tabs>
        <w:ind w:left="1290" w:hanging="570"/>
      </w:pPr>
      <w:rPr>
        <w:rFonts w:ascii="Symbol" w:hAnsi="Symbol"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9">
    <w:nsid w:val="2CE7676B"/>
    <w:multiLevelType w:val="hybridMultilevel"/>
    <w:tmpl w:val="978201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EE54AFF"/>
    <w:multiLevelType w:val="multilevel"/>
    <w:tmpl w:val="D24C5D2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2F0E7B47"/>
    <w:multiLevelType w:val="hybridMultilevel"/>
    <w:tmpl w:val="D65C0A7C"/>
    <w:lvl w:ilvl="0" w:tplc="C7406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65A13"/>
    <w:multiLevelType w:val="hybridMultilevel"/>
    <w:tmpl w:val="516ADC2A"/>
    <w:lvl w:ilvl="0" w:tplc="FD08E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E35AA5"/>
    <w:multiLevelType w:val="hybridMultilevel"/>
    <w:tmpl w:val="5D02831C"/>
    <w:lvl w:ilvl="0" w:tplc="B18E3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A26FDE"/>
    <w:multiLevelType w:val="hybridMultilevel"/>
    <w:tmpl w:val="DF565FA0"/>
    <w:lvl w:ilvl="0" w:tplc="AAD8A1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3750F"/>
    <w:multiLevelType w:val="hybridMultilevel"/>
    <w:tmpl w:val="DBC0DD0E"/>
    <w:lvl w:ilvl="0" w:tplc="E36AF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F70751B"/>
    <w:multiLevelType w:val="multilevel"/>
    <w:tmpl w:val="E898CA50"/>
    <w:lvl w:ilvl="0">
      <w:start w:val="1"/>
      <w:numFmt w:val="decimal"/>
      <w:lvlText w:val="%1."/>
      <w:lvlJc w:val="left"/>
      <w:pPr>
        <w:ind w:left="720" w:hanging="360"/>
      </w:pPr>
      <w:rPr>
        <w:rFonts w:hint="default"/>
      </w:rPr>
    </w:lvl>
    <w:lvl w:ilvl="1">
      <w:start w:val="1"/>
      <w:numFmt w:val="decimal"/>
      <w:isLgl/>
      <w:lvlText w:val="%2)"/>
      <w:lvlJc w:val="left"/>
      <w:pPr>
        <w:ind w:left="1140" w:hanging="4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4150C9E"/>
    <w:multiLevelType w:val="hybridMultilevel"/>
    <w:tmpl w:val="6E86834C"/>
    <w:lvl w:ilvl="0" w:tplc="98207FB6">
      <w:start w:val="1"/>
      <w:numFmt w:val="bullet"/>
      <w:lvlText w:val="•"/>
      <w:lvlJc w:val="left"/>
      <w:pPr>
        <w:tabs>
          <w:tab w:val="num" w:pos="720"/>
        </w:tabs>
        <w:ind w:left="720" w:hanging="360"/>
      </w:pPr>
      <w:rPr>
        <w:rFonts w:ascii="Arial" w:hAnsi="Arial" w:hint="default"/>
      </w:rPr>
    </w:lvl>
    <w:lvl w:ilvl="1" w:tplc="0BA8720C" w:tentative="1">
      <w:start w:val="1"/>
      <w:numFmt w:val="bullet"/>
      <w:lvlText w:val="•"/>
      <w:lvlJc w:val="left"/>
      <w:pPr>
        <w:tabs>
          <w:tab w:val="num" w:pos="1440"/>
        </w:tabs>
        <w:ind w:left="1440" w:hanging="360"/>
      </w:pPr>
      <w:rPr>
        <w:rFonts w:ascii="Arial" w:hAnsi="Arial" w:hint="default"/>
      </w:rPr>
    </w:lvl>
    <w:lvl w:ilvl="2" w:tplc="97CAA5EE" w:tentative="1">
      <w:start w:val="1"/>
      <w:numFmt w:val="bullet"/>
      <w:lvlText w:val="•"/>
      <w:lvlJc w:val="left"/>
      <w:pPr>
        <w:tabs>
          <w:tab w:val="num" w:pos="2160"/>
        </w:tabs>
        <w:ind w:left="2160" w:hanging="360"/>
      </w:pPr>
      <w:rPr>
        <w:rFonts w:ascii="Arial" w:hAnsi="Arial" w:hint="default"/>
      </w:rPr>
    </w:lvl>
    <w:lvl w:ilvl="3" w:tplc="37A4F816" w:tentative="1">
      <w:start w:val="1"/>
      <w:numFmt w:val="bullet"/>
      <w:lvlText w:val="•"/>
      <w:lvlJc w:val="left"/>
      <w:pPr>
        <w:tabs>
          <w:tab w:val="num" w:pos="2880"/>
        </w:tabs>
        <w:ind w:left="2880" w:hanging="360"/>
      </w:pPr>
      <w:rPr>
        <w:rFonts w:ascii="Arial" w:hAnsi="Arial" w:hint="default"/>
      </w:rPr>
    </w:lvl>
    <w:lvl w:ilvl="4" w:tplc="F830DB5C" w:tentative="1">
      <w:start w:val="1"/>
      <w:numFmt w:val="bullet"/>
      <w:lvlText w:val="•"/>
      <w:lvlJc w:val="left"/>
      <w:pPr>
        <w:tabs>
          <w:tab w:val="num" w:pos="3600"/>
        </w:tabs>
        <w:ind w:left="3600" w:hanging="360"/>
      </w:pPr>
      <w:rPr>
        <w:rFonts w:ascii="Arial" w:hAnsi="Arial" w:hint="default"/>
      </w:rPr>
    </w:lvl>
    <w:lvl w:ilvl="5" w:tplc="DDE42CB6" w:tentative="1">
      <w:start w:val="1"/>
      <w:numFmt w:val="bullet"/>
      <w:lvlText w:val="•"/>
      <w:lvlJc w:val="left"/>
      <w:pPr>
        <w:tabs>
          <w:tab w:val="num" w:pos="4320"/>
        </w:tabs>
        <w:ind w:left="4320" w:hanging="360"/>
      </w:pPr>
      <w:rPr>
        <w:rFonts w:ascii="Arial" w:hAnsi="Arial" w:hint="default"/>
      </w:rPr>
    </w:lvl>
    <w:lvl w:ilvl="6" w:tplc="8E0E5536" w:tentative="1">
      <w:start w:val="1"/>
      <w:numFmt w:val="bullet"/>
      <w:lvlText w:val="•"/>
      <w:lvlJc w:val="left"/>
      <w:pPr>
        <w:tabs>
          <w:tab w:val="num" w:pos="5040"/>
        </w:tabs>
        <w:ind w:left="5040" w:hanging="360"/>
      </w:pPr>
      <w:rPr>
        <w:rFonts w:ascii="Arial" w:hAnsi="Arial" w:hint="default"/>
      </w:rPr>
    </w:lvl>
    <w:lvl w:ilvl="7" w:tplc="7684083C" w:tentative="1">
      <w:start w:val="1"/>
      <w:numFmt w:val="bullet"/>
      <w:lvlText w:val="•"/>
      <w:lvlJc w:val="left"/>
      <w:pPr>
        <w:tabs>
          <w:tab w:val="num" w:pos="5760"/>
        </w:tabs>
        <w:ind w:left="5760" w:hanging="360"/>
      </w:pPr>
      <w:rPr>
        <w:rFonts w:ascii="Arial" w:hAnsi="Arial" w:hint="default"/>
      </w:rPr>
    </w:lvl>
    <w:lvl w:ilvl="8" w:tplc="401CDBA6" w:tentative="1">
      <w:start w:val="1"/>
      <w:numFmt w:val="bullet"/>
      <w:lvlText w:val="•"/>
      <w:lvlJc w:val="left"/>
      <w:pPr>
        <w:tabs>
          <w:tab w:val="num" w:pos="6480"/>
        </w:tabs>
        <w:ind w:left="6480" w:hanging="360"/>
      </w:pPr>
      <w:rPr>
        <w:rFonts w:ascii="Arial" w:hAnsi="Arial" w:hint="default"/>
      </w:rPr>
    </w:lvl>
  </w:abstractNum>
  <w:abstractNum w:abstractNumId="18">
    <w:nsid w:val="47B06393"/>
    <w:multiLevelType w:val="hybridMultilevel"/>
    <w:tmpl w:val="25EAD56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BF58DB"/>
    <w:multiLevelType w:val="multilevel"/>
    <w:tmpl w:val="5BA67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355787"/>
    <w:multiLevelType w:val="hybridMultilevel"/>
    <w:tmpl w:val="59E057D0"/>
    <w:lvl w:ilvl="0" w:tplc="1BB8BCC0">
      <w:start w:val="1"/>
      <w:numFmt w:val="decimal"/>
      <w:lvlText w:val="%1."/>
      <w:lvlJc w:val="left"/>
      <w:pPr>
        <w:tabs>
          <w:tab w:val="num" w:pos="720"/>
        </w:tabs>
        <w:ind w:left="720" w:hanging="360"/>
      </w:pPr>
    </w:lvl>
    <w:lvl w:ilvl="1" w:tplc="9A96E2DA" w:tentative="1">
      <w:start w:val="1"/>
      <w:numFmt w:val="decimal"/>
      <w:lvlText w:val="%2."/>
      <w:lvlJc w:val="left"/>
      <w:pPr>
        <w:tabs>
          <w:tab w:val="num" w:pos="1440"/>
        </w:tabs>
        <w:ind w:left="1440" w:hanging="360"/>
      </w:pPr>
    </w:lvl>
    <w:lvl w:ilvl="2" w:tplc="81B0D516" w:tentative="1">
      <w:start w:val="1"/>
      <w:numFmt w:val="decimal"/>
      <w:lvlText w:val="%3."/>
      <w:lvlJc w:val="left"/>
      <w:pPr>
        <w:tabs>
          <w:tab w:val="num" w:pos="2160"/>
        </w:tabs>
        <w:ind w:left="2160" w:hanging="360"/>
      </w:pPr>
    </w:lvl>
    <w:lvl w:ilvl="3" w:tplc="533442D0" w:tentative="1">
      <w:start w:val="1"/>
      <w:numFmt w:val="decimal"/>
      <w:lvlText w:val="%4."/>
      <w:lvlJc w:val="left"/>
      <w:pPr>
        <w:tabs>
          <w:tab w:val="num" w:pos="2880"/>
        </w:tabs>
        <w:ind w:left="2880" w:hanging="360"/>
      </w:pPr>
    </w:lvl>
    <w:lvl w:ilvl="4" w:tplc="B02C3A5A" w:tentative="1">
      <w:start w:val="1"/>
      <w:numFmt w:val="decimal"/>
      <w:lvlText w:val="%5."/>
      <w:lvlJc w:val="left"/>
      <w:pPr>
        <w:tabs>
          <w:tab w:val="num" w:pos="3600"/>
        </w:tabs>
        <w:ind w:left="3600" w:hanging="360"/>
      </w:pPr>
    </w:lvl>
    <w:lvl w:ilvl="5" w:tplc="F2E628F8" w:tentative="1">
      <w:start w:val="1"/>
      <w:numFmt w:val="decimal"/>
      <w:lvlText w:val="%6."/>
      <w:lvlJc w:val="left"/>
      <w:pPr>
        <w:tabs>
          <w:tab w:val="num" w:pos="4320"/>
        </w:tabs>
        <w:ind w:left="4320" w:hanging="360"/>
      </w:pPr>
    </w:lvl>
    <w:lvl w:ilvl="6" w:tplc="2AFC5654" w:tentative="1">
      <w:start w:val="1"/>
      <w:numFmt w:val="decimal"/>
      <w:lvlText w:val="%7."/>
      <w:lvlJc w:val="left"/>
      <w:pPr>
        <w:tabs>
          <w:tab w:val="num" w:pos="5040"/>
        </w:tabs>
        <w:ind w:left="5040" w:hanging="360"/>
      </w:pPr>
    </w:lvl>
    <w:lvl w:ilvl="7" w:tplc="4284416C" w:tentative="1">
      <w:start w:val="1"/>
      <w:numFmt w:val="decimal"/>
      <w:lvlText w:val="%8."/>
      <w:lvlJc w:val="left"/>
      <w:pPr>
        <w:tabs>
          <w:tab w:val="num" w:pos="5760"/>
        </w:tabs>
        <w:ind w:left="5760" w:hanging="360"/>
      </w:pPr>
    </w:lvl>
    <w:lvl w:ilvl="8" w:tplc="2614324C" w:tentative="1">
      <w:start w:val="1"/>
      <w:numFmt w:val="decimal"/>
      <w:lvlText w:val="%9."/>
      <w:lvlJc w:val="left"/>
      <w:pPr>
        <w:tabs>
          <w:tab w:val="num" w:pos="6480"/>
        </w:tabs>
        <w:ind w:left="6480" w:hanging="360"/>
      </w:pPr>
    </w:lvl>
  </w:abstractNum>
  <w:abstractNum w:abstractNumId="21">
    <w:nsid w:val="51160609"/>
    <w:multiLevelType w:val="hybridMultilevel"/>
    <w:tmpl w:val="79A40BF8"/>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4476B9"/>
    <w:multiLevelType w:val="hybridMultilevel"/>
    <w:tmpl w:val="E9AAD942"/>
    <w:lvl w:ilvl="0" w:tplc="31EA6DA2">
      <w:start w:val="1"/>
      <w:numFmt w:val="bullet"/>
      <w:lvlText w:val="•"/>
      <w:lvlJc w:val="left"/>
      <w:pPr>
        <w:tabs>
          <w:tab w:val="num" w:pos="720"/>
        </w:tabs>
        <w:ind w:left="720" w:hanging="360"/>
      </w:pPr>
      <w:rPr>
        <w:rFonts w:ascii="Arial" w:hAnsi="Arial" w:hint="default"/>
      </w:rPr>
    </w:lvl>
    <w:lvl w:ilvl="1" w:tplc="4C5E1E98" w:tentative="1">
      <w:start w:val="1"/>
      <w:numFmt w:val="bullet"/>
      <w:lvlText w:val="•"/>
      <w:lvlJc w:val="left"/>
      <w:pPr>
        <w:tabs>
          <w:tab w:val="num" w:pos="1440"/>
        </w:tabs>
        <w:ind w:left="1440" w:hanging="360"/>
      </w:pPr>
      <w:rPr>
        <w:rFonts w:ascii="Arial" w:hAnsi="Arial" w:hint="default"/>
      </w:rPr>
    </w:lvl>
    <w:lvl w:ilvl="2" w:tplc="2CD06BF2" w:tentative="1">
      <w:start w:val="1"/>
      <w:numFmt w:val="bullet"/>
      <w:lvlText w:val="•"/>
      <w:lvlJc w:val="left"/>
      <w:pPr>
        <w:tabs>
          <w:tab w:val="num" w:pos="2160"/>
        </w:tabs>
        <w:ind w:left="2160" w:hanging="360"/>
      </w:pPr>
      <w:rPr>
        <w:rFonts w:ascii="Arial" w:hAnsi="Arial" w:hint="default"/>
      </w:rPr>
    </w:lvl>
    <w:lvl w:ilvl="3" w:tplc="90E8A934" w:tentative="1">
      <w:start w:val="1"/>
      <w:numFmt w:val="bullet"/>
      <w:lvlText w:val="•"/>
      <w:lvlJc w:val="left"/>
      <w:pPr>
        <w:tabs>
          <w:tab w:val="num" w:pos="2880"/>
        </w:tabs>
        <w:ind w:left="2880" w:hanging="360"/>
      </w:pPr>
      <w:rPr>
        <w:rFonts w:ascii="Arial" w:hAnsi="Arial" w:hint="default"/>
      </w:rPr>
    </w:lvl>
    <w:lvl w:ilvl="4" w:tplc="CC58010C" w:tentative="1">
      <w:start w:val="1"/>
      <w:numFmt w:val="bullet"/>
      <w:lvlText w:val="•"/>
      <w:lvlJc w:val="left"/>
      <w:pPr>
        <w:tabs>
          <w:tab w:val="num" w:pos="3600"/>
        </w:tabs>
        <w:ind w:left="3600" w:hanging="360"/>
      </w:pPr>
      <w:rPr>
        <w:rFonts w:ascii="Arial" w:hAnsi="Arial" w:hint="default"/>
      </w:rPr>
    </w:lvl>
    <w:lvl w:ilvl="5" w:tplc="A1F4919E" w:tentative="1">
      <w:start w:val="1"/>
      <w:numFmt w:val="bullet"/>
      <w:lvlText w:val="•"/>
      <w:lvlJc w:val="left"/>
      <w:pPr>
        <w:tabs>
          <w:tab w:val="num" w:pos="4320"/>
        </w:tabs>
        <w:ind w:left="4320" w:hanging="360"/>
      </w:pPr>
      <w:rPr>
        <w:rFonts w:ascii="Arial" w:hAnsi="Arial" w:hint="default"/>
      </w:rPr>
    </w:lvl>
    <w:lvl w:ilvl="6" w:tplc="E0443196" w:tentative="1">
      <w:start w:val="1"/>
      <w:numFmt w:val="bullet"/>
      <w:lvlText w:val="•"/>
      <w:lvlJc w:val="left"/>
      <w:pPr>
        <w:tabs>
          <w:tab w:val="num" w:pos="5040"/>
        </w:tabs>
        <w:ind w:left="5040" w:hanging="360"/>
      </w:pPr>
      <w:rPr>
        <w:rFonts w:ascii="Arial" w:hAnsi="Arial" w:hint="default"/>
      </w:rPr>
    </w:lvl>
    <w:lvl w:ilvl="7" w:tplc="A7ACFED2" w:tentative="1">
      <w:start w:val="1"/>
      <w:numFmt w:val="bullet"/>
      <w:lvlText w:val="•"/>
      <w:lvlJc w:val="left"/>
      <w:pPr>
        <w:tabs>
          <w:tab w:val="num" w:pos="5760"/>
        </w:tabs>
        <w:ind w:left="5760" w:hanging="360"/>
      </w:pPr>
      <w:rPr>
        <w:rFonts w:ascii="Arial" w:hAnsi="Arial" w:hint="default"/>
      </w:rPr>
    </w:lvl>
    <w:lvl w:ilvl="8" w:tplc="893073A4" w:tentative="1">
      <w:start w:val="1"/>
      <w:numFmt w:val="bullet"/>
      <w:lvlText w:val="•"/>
      <w:lvlJc w:val="left"/>
      <w:pPr>
        <w:tabs>
          <w:tab w:val="num" w:pos="6480"/>
        </w:tabs>
        <w:ind w:left="6480" w:hanging="360"/>
      </w:pPr>
      <w:rPr>
        <w:rFonts w:ascii="Arial" w:hAnsi="Arial" w:hint="default"/>
      </w:rPr>
    </w:lvl>
  </w:abstractNum>
  <w:abstractNum w:abstractNumId="23">
    <w:nsid w:val="6F46271D"/>
    <w:multiLevelType w:val="hybridMultilevel"/>
    <w:tmpl w:val="6C4C1978"/>
    <w:lvl w:ilvl="0" w:tplc="6438160E">
      <w:start w:val="1"/>
      <w:numFmt w:val="bullet"/>
      <w:lvlText w:val="•"/>
      <w:lvlJc w:val="left"/>
      <w:pPr>
        <w:tabs>
          <w:tab w:val="num" w:pos="720"/>
        </w:tabs>
        <w:ind w:left="720" w:hanging="360"/>
      </w:pPr>
      <w:rPr>
        <w:rFonts w:ascii="Arial" w:hAnsi="Arial" w:hint="default"/>
      </w:rPr>
    </w:lvl>
    <w:lvl w:ilvl="1" w:tplc="6E983B70" w:tentative="1">
      <w:start w:val="1"/>
      <w:numFmt w:val="bullet"/>
      <w:lvlText w:val="•"/>
      <w:lvlJc w:val="left"/>
      <w:pPr>
        <w:tabs>
          <w:tab w:val="num" w:pos="1440"/>
        </w:tabs>
        <w:ind w:left="1440" w:hanging="360"/>
      </w:pPr>
      <w:rPr>
        <w:rFonts w:ascii="Arial" w:hAnsi="Arial" w:hint="default"/>
      </w:rPr>
    </w:lvl>
    <w:lvl w:ilvl="2" w:tplc="9E76BC84" w:tentative="1">
      <w:start w:val="1"/>
      <w:numFmt w:val="bullet"/>
      <w:lvlText w:val="•"/>
      <w:lvlJc w:val="left"/>
      <w:pPr>
        <w:tabs>
          <w:tab w:val="num" w:pos="2160"/>
        </w:tabs>
        <w:ind w:left="2160" w:hanging="360"/>
      </w:pPr>
      <w:rPr>
        <w:rFonts w:ascii="Arial" w:hAnsi="Arial" w:hint="default"/>
      </w:rPr>
    </w:lvl>
    <w:lvl w:ilvl="3" w:tplc="8BDAA4B4" w:tentative="1">
      <w:start w:val="1"/>
      <w:numFmt w:val="bullet"/>
      <w:lvlText w:val="•"/>
      <w:lvlJc w:val="left"/>
      <w:pPr>
        <w:tabs>
          <w:tab w:val="num" w:pos="2880"/>
        </w:tabs>
        <w:ind w:left="2880" w:hanging="360"/>
      </w:pPr>
      <w:rPr>
        <w:rFonts w:ascii="Arial" w:hAnsi="Arial" w:hint="default"/>
      </w:rPr>
    </w:lvl>
    <w:lvl w:ilvl="4" w:tplc="22BAAB8A" w:tentative="1">
      <w:start w:val="1"/>
      <w:numFmt w:val="bullet"/>
      <w:lvlText w:val="•"/>
      <w:lvlJc w:val="left"/>
      <w:pPr>
        <w:tabs>
          <w:tab w:val="num" w:pos="3600"/>
        </w:tabs>
        <w:ind w:left="3600" w:hanging="360"/>
      </w:pPr>
      <w:rPr>
        <w:rFonts w:ascii="Arial" w:hAnsi="Arial" w:hint="default"/>
      </w:rPr>
    </w:lvl>
    <w:lvl w:ilvl="5" w:tplc="8084E6F4" w:tentative="1">
      <w:start w:val="1"/>
      <w:numFmt w:val="bullet"/>
      <w:lvlText w:val="•"/>
      <w:lvlJc w:val="left"/>
      <w:pPr>
        <w:tabs>
          <w:tab w:val="num" w:pos="4320"/>
        </w:tabs>
        <w:ind w:left="4320" w:hanging="360"/>
      </w:pPr>
      <w:rPr>
        <w:rFonts w:ascii="Arial" w:hAnsi="Arial" w:hint="default"/>
      </w:rPr>
    </w:lvl>
    <w:lvl w:ilvl="6" w:tplc="B0320380" w:tentative="1">
      <w:start w:val="1"/>
      <w:numFmt w:val="bullet"/>
      <w:lvlText w:val="•"/>
      <w:lvlJc w:val="left"/>
      <w:pPr>
        <w:tabs>
          <w:tab w:val="num" w:pos="5040"/>
        </w:tabs>
        <w:ind w:left="5040" w:hanging="360"/>
      </w:pPr>
      <w:rPr>
        <w:rFonts w:ascii="Arial" w:hAnsi="Arial" w:hint="default"/>
      </w:rPr>
    </w:lvl>
    <w:lvl w:ilvl="7" w:tplc="B2CEF78E" w:tentative="1">
      <w:start w:val="1"/>
      <w:numFmt w:val="bullet"/>
      <w:lvlText w:val="•"/>
      <w:lvlJc w:val="left"/>
      <w:pPr>
        <w:tabs>
          <w:tab w:val="num" w:pos="5760"/>
        </w:tabs>
        <w:ind w:left="5760" w:hanging="360"/>
      </w:pPr>
      <w:rPr>
        <w:rFonts w:ascii="Arial" w:hAnsi="Arial" w:hint="default"/>
      </w:rPr>
    </w:lvl>
    <w:lvl w:ilvl="8" w:tplc="9ED01D60" w:tentative="1">
      <w:start w:val="1"/>
      <w:numFmt w:val="bullet"/>
      <w:lvlText w:val="•"/>
      <w:lvlJc w:val="left"/>
      <w:pPr>
        <w:tabs>
          <w:tab w:val="num" w:pos="6480"/>
        </w:tabs>
        <w:ind w:left="6480" w:hanging="360"/>
      </w:pPr>
      <w:rPr>
        <w:rFonts w:ascii="Arial" w:hAnsi="Arial" w:hint="default"/>
      </w:rPr>
    </w:lvl>
  </w:abstractNum>
  <w:abstractNum w:abstractNumId="24">
    <w:nsid w:val="70594721"/>
    <w:multiLevelType w:val="hybridMultilevel"/>
    <w:tmpl w:val="F4088CD8"/>
    <w:lvl w:ilvl="0" w:tplc="BF92C6D8">
      <w:start w:val="1"/>
      <w:numFmt w:val="bullet"/>
      <w:lvlText w:val="•"/>
      <w:lvlJc w:val="left"/>
      <w:pPr>
        <w:tabs>
          <w:tab w:val="num" w:pos="720"/>
        </w:tabs>
        <w:ind w:left="720" w:hanging="360"/>
      </w:pPr>
      <w:rPr>
        <w:rFonts w:ascii="Arial" w:hAnsi="Arial" w:hint="default"/>
      </w:rPr>
    </w:lvl>
    <w:lvl w:ilvl="1" w:tplc="D8B2A5D2" w:tentative="1">
      <w:start w:val="1"/>
      <w:numFmt w:val="bullet"/>
      <w:lvlText w:val="•"/>
      <w:lvlJc w:val="left"/>
      <w:pPr>
        <w:tabs>
          <w:tab w:val="num" w:pos="1440"/>
        </w:tabs>
        <w:ind w:left="1440" w:hanging="360"/>
      </w:pPr>
      <w:rPr>
        <w:rFonts w:ascii="Arial" w:hAnsi="Arial" w:hint="default"/>
      </w:rPr>
    </w:lvl>
    <w:lvl w:ilvl="2" w:tplc="DCEAA3A2" w:tentative="1">
      <w:start w:val="1"/>
      <w:numFmt w:val="bullet"/>
      <w:lvlText w:val="•"/>
      <w:lvlJc w:val="left"/>
      <w:pPr>
        <w:tabs>
          <w:tab w:val="num" w:pos="2160"/>
        </w:tabs>
        <w:ind w:left="2160" w:hanging="360"/>
      </w:pPr>
      <w:rPr>
        <w:rFonts w:ascii="Arial" w:hAnsi="Arial" w:hint="default"/>
      </w:rPr>
    </w:lvl>
    <w:lvl w:ilvl="3" w:tplc="F692D370" w:tentative="1">
      <w:start w:val="1"/>
      <w:numFmt w:val="bullet"/>
      <w:lvlText w:val="•"/>
      <w:lvlJc w:val="left"/>
      <w:pPr>
        <w:tabs>
          <w:tab w:val="num" w:pos="2880"/>
        </w:tabs>
        <w:ind w:left="2880" w:hanging="360"/>
      </w:pPr>
      <w:rPr>
        <w:rFonts w:ascii="Arial" w:hAnsi="Arial" w:hint="default"/>
      </w:rPr>
    </w:lvl>
    <w:lvl w:ilvl="4" w:tplc="1374A636" w:tentative="1">
      <w:start w:val="1"/>
      <w:numFmt w:val="bullet"/>
      <w:lvlText w:val="•"/>
      <w:lvlJc w:val="left"/>
      <w:pPr>
        <w:tabs>
          <w:tab w:val="num" w:pos="3600"/>
        </w:tabs>
        <w:ind w:left="3600" w:hanging="360"/>
      </w:pPr>
      <w:rPr>
        <w:rFonts w:ascii="Arial" w:hAnsi="Arial" w:hint="default"/>
      </w:rPr>
    </w:lvl>
    <w:lvl w:ilvl="5" w:tplc="E3D28D0C" w:tentative="1">
      <w:start w:val="1"/>
      <w:numFmt w:val="bullet"/>
      <w:lvlText w:val="•"/>
      <w:lvlJc w:val="left"/>
      <w:pPr>
        <w:tabs>
          <w:tab w:val="num" w:pos="4320"/>
        </w:tabs>
        <w:ind w:left="4320" w:hanging="360"/>
      </w:pPr>
      <w:rPr>
        <w:rFonts w:ascii="Arial" w:hAnsi="Arial" w:hint="default"/>
      </w:rPr>
    </w:lvl>
    <w:lvl w:ilvl="6" w:tplc="7A628984" w:tentative="1">
      <w:start w:val="1"/>
      <w:numFmt w:val="bullet"/>
      <w:lvlText w:val="•"/>
      <w:lvlJc w:val="left"/>
      <w:pPr>
        <w:tabs>
          <w:tab w:val="num" w:pos="5040"/>
        </w:tabs>
        <w:ind w:left="5040" w:hanging="360"/>
      </w:pPr>
      <w:rPr>
        <w:rFonts w:ascii="Arial" w:hAnsi="Arial" w:hint="default"/>
      </w:rPr>
    </w:lvl>
    <w:lvl w:ilvl="7" w:tplc="17EAB1E8" w:tentative="1">
      <w:start w:val="1"/>
      <w:numFmt w:val="bullet"/>
      <w:lvlText w:val="•"/>
      <w:lvlJc w:val="left"/>
      <w:pPr>
        <w:tabs>
          <w:tab w:val="num" w:pos="5760"/>
        </w:tabs>
        <w:ind w:left="5760" w:hanging="360"/>
      </w:pPr>
      <w:rPr>
        <w:rFonts w:ascii="Arial" w:hAnsi="Arial" w:hint="default"/>
      </w:rPr>
    </w:lvl>
    <w:lvl w:ilvl="8" w:tplc="80A25BE2" w:tentative="1">
      <w:start w:val="1"/>
      <w:numFmt w:val="bullet"/>
      <w:lvlText w:val="•"/>
      <w:lvlJc w:val="left"/>
      <w:pPr>
        <w:tabs>
          <w:tab w:val="num" w:pos="6480"/>
        </w:tabs>
        <w:ind w:left="6480" w:hanging="360"/>
      </w:pPr>
      <w:rPr>
        <w:rFonts w:ascii="Arial" w:hAnsi="Arial" w:hint="default"/>
      </w:rPr>
    </w:lvl>
  </w:abstractNum>
  <w:abstractNum w:abstractNumId="25">
    <w:nsid w:val="71435F38"/>
    <w:multiLevelType w:val="hybridMultilevel"/>
    <w:tmpl w:val="655A8D86"/>
    <w:lvl w:ilvl="0" w:tplc="AAD8A1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B31D6"/>
    <w:multiLevelType w:val="hybridMultilevel"/>
    <w:tmpl w:val="00EEFB04"/>
    <w:lvl w:ilvl="0" w:tplc="AE28E9E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7">
    <w:nsid w:val="79E04767"/>
    <w:multiLevelType w:val="multilevel"/>
    <w:tmpl w:val="81F889AE"/>
    <w:lvl w:ilvl="0">
      <w:start w:val="1"/>
      <w:numFmt w:val="decimal"/>
      <w:lvlText w:val="%1."/>
      <w:lvlJc w:val="left"/>
      <w:pPr>
        <w:ind w:left="1287" w:hanging="360"/>
      </w:p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nsid w:val="7B820A61"/>
    <w:multiLevelType w:val="hybridMultilevel"/>
    <w:tmpl w:val="9626B5BC"/>
    <w:lvl w:ilvl="0" w:tplc="AAD8A1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24"/>
  </w:num>
  <w:num w:numId="3">
    <w:abstractNumId w:val="8"/>
  </w:num>
  <w:num w:numId="4">
    <w:abstractNumId w:val="10"/>
  </w:num>
  <w:num w:numId="5">
    <w:abstractNumId w:val="20"/>
  </w:num>
  <w:num w:numId="6">
    <w:abstractNumId w:val="12"/>
  </w:num>
  <w:num w:numId="7">
    <w:abstractNumId w:val="26"/>
  </w:num>
  <w:num w:numId="8">
    <w:abstractNumId w:val="22"/>
  </w:num>
  <w:num w:numId="9">
    <w:abstractNumId w:val="23"/>
  </w:num>
  <w:num w:numId="10">
    <w:abstractNumId w:val="3"/>
  </w:num>
  <w:num w:numId="11">
    <w:abstractNumId w:val="9"/>
  </w:num>
  <w:num w:numId="12">
    <w:abstractNumId w:val="4"/>
  </w:num>
  <w:num w:numId="13">
    <w:abstractNumId w:val="19"/>
  </w:num>
  <w:num w:numId="14">
    <w:abstractNumId w:val="5"/>
  </w:num>
  <w:num w:numId="15">
    <w:abstractNumId w:val="27"/>
  </w:num>
  <w:num w:numId="16">
    <w:abstractNumId w:val="18"/>
  </w:num>
  <w:num w:numId="17">
    <w:abstractNumId w:val="28"/>
  </w:num>
  <w:num w:numId="18">
    <w:abstractNumId w:val="21"/>
  </w:num>
  <w:num w:numId="19">
    <w:abstractNumId w:val="6"/>
  </w:num>
  <w:num w:numId="20">
    <w:abstractNumId w:val="14"/>
  </w:num>
  <w:num w:numId="21">
    <w:abstractNumId w:val="0"/>
  </w:num>
  <w:num w:numId="22">
    <w:abstractNumId w:val="7"/>
  </w:num>
  <w:num w:numId="23">
    <w:abstractNumId w:val="15"/>
  </w:num>
  <w:num w:numId="24">
    <w:abstractNumId w:val="17"/>
  </w:num>
  <w:num w:numId="25">
    <w:abstractNumId w:val="25"/>
  </w:num>
  <w:num w:numId="26">
    <w:abstractNumId w:val="1"/>
  </w:num>
  <w:num w:numId="27">
    <w:abstractNumId w:val="2"/>
  </w:num>
  <w:num w:numId="28">
    <w:abstractNumId w:val="13"/>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3720A1"/>
    <w:rsid w:val="00012F69"/>
    <w:rsid w:val="00060718"/>
    <w:rsid w:val="0009476D"/>
    <w:rsid w:val="00125207"/>
    <w:rsid w:val="00183C7D"/>
    <w:rsid w:val="00184F0B"/>
    <w:rsid w:val="001E3992"/>
    <w:rsid w:val="002128C6"/>
    <w:rsid w:val="0024729C"/>
    <w:rsid w:val="00360167"/>
    <w:rsid w:val="00370AAD"/>
    <w:rsid w:val="003720A1"/>
    <w:rsid w:val="003943E7"/>
    <w:rsid w:val="004210FB"/>
    <w:rsid w:val="00477718"/>
    <w:rsid w:val="004A41F0"/>
    <w:rsid w:val="004C4458"/>
    <w:rsid w:val="00571233"/>
    <w:rsid w:val="00580297"/>
    <w:rsid w:val="0062336A"/>
    <w:rsid w:val="007B15EB"/>
    <w:rsid w:val="007E0940"/>
    <w:rsid w:val="00811285"/>
    <w:rsid w:val="008213B2"/>
    <w:rsid w:val="00927027"/>
    <w:rsid w:val="009676FE"/>
    <w:rsid w:val="009E15E8"/>
    <w:rsid w:val="00A44442"/>
    <w:rsid w:val="00A83B3E"/>
    <w:rsid w:val="00A853BC"/>
    <w:rsid w:val="00AC5FDB"/>
    <w:rsid w:val="00AE1279"/>
    <w:rsid w:val="00B85067"/>
    <w:rsid w:val="00BD3A53"/>
    <w:rsid w:val="00BE4A69"/>
    <w:rsid w:val="00C04080"/>
    <w:rsid w:val="00C62C8B"/>
    <w:rsid w:val="00D11EE1"/>
    <w:rsid w:val="00DD5FA5"/>
    <w:rsid w:val="00E0091D"/>
    <w:rsid w:val="00E200CC"/>
    <w:rsid w:val="00F53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DB"/>
  </w:style>
  <w:style w:type="paragraph" w:styleId="Heading1">
    <w:name w:val="heading 1"/>
    <w:basedOn w:val="Normal"/>
    <w:next w:val="Normal"/>
    <w:link w:val="Heading1Char"/>
    <w:uiPriority w:val="9"/>
    <w:qFormat/>
    <w:rsid w:val="004C445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Heading2">
    <w:name w:val="heading 2"/>
    <w:basedOn w:val="Normal"/>
    <w:next w:val="Normal"/>
    <w:link w:val="Heading2Char"/>
    <w:uiPriority w:val="9"/>
    <w:unhideWhenUsed/>
    <w:qFormat/>
    <w:rsid w:val="004C44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458"/>
    <w:rPr>
      <w:rFonts w:asciiTheme="majorHAnsi" w:eastAsiaTheme="majorEastAsia" w:hAnsiTheme="majorHAnsi" w:cstheme="majorBidi"/>
      <w:b/>
      <w:bCs/>
      <w:color w:val="365F91" w:themeColor="accent1" w:themeShade="BF"/>
      <w:sz w:val="28"/>
      <w:szCs w:val="28"/>
      <w:lang w:eastAsia="ru-RU"/>
    </w:rPr>
  </w:style>
  <w:style w:type="character" w:customStyle="1" w:styleId="Heading2Char">
    <w:name w:val="Heading 2 Char"/>
    <w:basedOn w:val="DefaultParagraphFont"/>
    <w:link w:val="Heading2"/>
    <w:uiPriority w:val="9"/>
    <w:rsid w:val="004C44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84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0B"/>
    <w:rPr>
      <w:rFonts w:ascii="Tahoma" w:hAnsi="Tahoma" w:cs="Tahoma"/>
      <w:sz w:val="16"/>
      <w:szCs w:val="16"/>
    </w:rPr>
  </w:style>
  <w:style w:type="paragraph" w:styleId="FootnoteText">
    <w:name w:val="footnote text"/>
    <w:aliases w:val="Текст сноски Знак Знак Char,Texto de nota al pie Char,Texto de nota al pie,Текст сноски Знак Знак Char Char,Schriftart: 9 pt,Schriftart: 10 pt,Schriftart: 8 pt,single space,Текст сноски Знак1 Знак,Table_Footnote_last,o,тс,Текст сноски Зна"/>
    <w:basedOn w:val="Normal"/>
    <w:link w:val="FootnoteTextChar"/>
    <w:uiPriority w:val="99"/>
    <w:unhideWhenUsed/>
    <w:rsid w:val="00184F0B"/>
    <w:pPr>
      <w:spacing w:after="0" w:line="240" w:lineRule="auto"/>
    </w:pPr>
    <w:rPr>
      <w:sz w:val="20"/>
      <w:szCs w:val="20"/>
    </w:rPr>
  </w:style>
  <w:style w:type="character" w:customStyle="1" w:styleId="FootnoteTextChar">
    <w:name w:val="Footnote Text Char"/>
    <w:aliases w:val="Текст сноски Знак Знак Char Char1,Texto de nota al pie Char Char,Texto de nota al pie Char1,Текст сноски Знак Знак Char Char Char,Schriftart: 9 pt Char,Schriftart: 10 pt Char,Schriftart: 8 pt Char,single space Char,o Char,тс Char"/>
    <w:basedOn w:val="DefaultParagraphFont"/>
    <w:link w:val="FootnoteText"/>
    <w:uiPriority w:val="99"/>
    <w:rsid w:val="00184F0B"/>
    <w:rPr>
      <w:sz w:val="20"/>
      <w:szCs w:val="20"/>
    </w:rPr>
  </w:style>
  <w:style w:type="character" w:styleId="FootnoteReference">
    <w:name w:val="footnote reference"/>
    <w:aliases w:val="Знак сноски-FN,Знак сноски 1,Ciae niinee-FN,SUPERS,Referencia nota al pie,fr,Used by Word for Help footnote symbols,Ciae niinee 1,Ссылка на сноску 45,Appel note de bas de page,Стиль Знак сноски,Appel note de bas de page + 1...,f,зс"/>
    <w:basedOn w:val="DefaultParagraphFont"/>
    <w:uiPriority w:val="99"/>
    <w:unhideWhenUsed/>
    <w:rsid w:val="00184F0B"/>
    <w:rPr>
      <w:vertAlign w:val="superscript"/>
    </w:rPr>
  </w:style>
  <w:style w:type="paragraph" w:styleId="Header">
    <w:name w:val="header"/>
    <w:basedOn w:val="Normal"/>
    <w:link w:val="HeaderChar"/>
    <w:uiPriority w:val="99"/>
    <w:semiHidden/>
    <w:unhideWhenUsed/>
    <w:rsid w:val="00184F0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184F0B"/>
  </w:style>
  <w:style w:type="paragraph" w:styleId="Footer">
    <w:name w:val="footer"/>
    <w:basedOn w:val="Normal"/>
    <w:link w:val="FooterChar"/>
    <w:uiPriority w:val="99"/>
    <w:unhideWhenUsed/>
    <w:rsid w:val="00184F0B"/>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4F0B"/>
  </w:style>
  <w:style w:type="paragraph" w:customStyle="1" w:styleId="-">
    <w:name w:val="Литература-книга"/>
    <w:basedOn w:val="Normal"/>
    <w:rsid w:val="008213B2"/>
    <w:pPr>
      <w:tabs>
        <w:tab w:val="left" w:pos="284"/>
      </w:tabs>
      <w:spacing w:after="0" w:line="216" w:lineRule="auto"/>
      <w:ind w:left="284" w:hanging="284"/>
      <w:jc w:val="both"/>
    </w:pPr>
    <w:rPr>
      <w:rFonts w:ascii="Times New Roman" w:eastAsia="Times New Roman" w:hAnsi="Times New Roman" w:cs="Times New Roman"/>
      <w:i/>
      <w:sz w:val="20"/>
      <w:szCs w:val="20"/>
      <w:lang w:val="en-AU" w:eastAsia="ru-RU"/>
    </w:rPr>
  </w:style>
  <w:style w:type="paragraph" w:styleId="ListParagraph">
    <w:name w:val="List Paragraph"/>
    <w:aliases w:val="Абзац вправо-1,Абзац списка11,List Paragraph1,Абзац списка111"/>
    <w:basedOn w:val="Normal"/>
    <w:link w:val="ListParagraphChar"/>
    <w:uiPriority w:val="34"/>
    <w:qFormat/>
    <w:rsid w:val="0009476D"/>
    <w:pPr>
      <w:ind w:left="720"/>
      <w:contextualSpacing/>
    </w:pPr>
  </w:style>
  <w:style w:type="character" w:customStyle="1" w:styleId="ListParagraphChar">
    <w:name w:val="List Paragraph Char"/>
    <w:aliases w:val="Абзац вправо-1 Char,Абзац списка11 Char,List Paragraph1 Char,Абзац списка111 Char"/>
    <w:link w:val="ListParagraph"/>
    <w:uiPriority w:val="34"/>
    <w:locked/>
    <w:rsid w:val="004C4458"/>
  </w:style>
  <w:style w:type="paragraph" w:customStyle="1" w:styleId="p1">
    <w:name w:val="p1"/>
    <w:basedOn w:val="Normal"/>
    <w:rsid w:val="004C4458"/>
    <w:pPr>
      <w:spacing w:after="0" w:line="240" w:lineRule="auto"/>
    </w:pPr>
    <w:rPr>
      <w:rFonts w:ascii=".SF UI Text" w:hAnsi=".SF UI Text" w:cs="Times New Roman"/>
      <w:color w:val="454545"/>
      <w:sz w:val="26"/>
      <w:szCs w:val="26"/>
      <w:lang w:eastAsia="ru-RU"/>
    </w:rPr>
  </w:style>
  <w:style w:type="paragraph" w:styleId="TOC1">
    <w:name w:val="toc 1"/>
    <w:basedOn w:val="Normal"/>
    <w:next w:val="Normal"/>
    <w:autoRedefine/>
    <w:uiPriority w:val="39"/>
    <w:unhideWhenUsed/>
    <w:rsid w:val="004C4458"/>
    <w:pPr>
      <w:spacing w:after="100" w:line="240" w:lineRule="auto"/>
    </w:pPr>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4C4458"/>
    <w:rPr>
      <w:color w:val="0000FF" w:themeColor="hyperlink"/>
      <w:u w:val="single"/>
    </w:rPr>
  </w:style>
  <w:style w:type="paragraph" w:styleId="TOC2">
    <w:name w:val="toc 2"/>
    <w:basedOn w:val="Normal"/>
    <w:next w:val="Normal"/>
    <w:autoRedefine/>
    <w:uiPriority w:val="39"/>
    <w:unhideWhenUsed/>
    <w:rsid w:val="004C4458"/>
    <w:pPr>
      <w:spacing w:after="100" w:line="240" w:lineRule="auto"/>
      <w:ind w:left="200"/>
    </w:pPr>
    <w:rPr>
      <w:rFonts w:ascii="Times New Roman" w:eastAsia="Times New Roman" w:hAnsi="Times New Roman" w:cs="Times New Roman"/>
      <w:sz w:val="20"/>
      <w:szCs w:val="20"/>
      <w:lang w:eastAsia="ru-RU"/>
    </w:rPr>
  </w:style>
  <w:style w:type="table" w:styleId="TableGrid">
    <w:name w:val="Table Grid"/>
    <w:basedOn w:val="TableNormal"/>
    <w:uiPriority w:val="59"/>
    <w:rsid w:val="004C4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ок: упоминание типа договора"/>
    <w:uiPriority w:val="99"/>
    <w:locked/>
    <w:rsid w:val="004C4458"/>
    <w:pPr>
      <w:spacing w:after="120" w:line="240" w:lineRule="auto"/>
      <w:jc w:val="center"/>
    </w:pPr>
    <w:rPr>
      <w:rFonts w:ascii="Times New Roman" w:eastAsia="Times New Roman" w:hAnsi="Times New Roman" w:cs="Times New Roman"/>
      <w:sz w:val="24"/>
      <w:szCs w:val="24"/>
      <w:lang w:eastAsia="ru-RU"/>
    </w:rPr>
  </w:style>
  <w:style w:type="character" w:customStyle="1" w:styleId="CommentTextChar">
    <w:name w:val="Comment Text Char"/>
    <w:basedOn w:val="DefaultParagraphFont"/>
    <w:link w:val="CommentText"/>
    <w:uiPriority w:val="99"/>
    <w:semiHidden/>
    <w:rsid w:val="004C4458"/>
    <w:rPr>
      <w:rFonts w:ascii="Times New Roman" w:eastAsia="Times New Roman" w:hAnsi="Times New Roman" w:cs="Times New Roman"/>
      <w:sz w:val="24"/>
      <w:szCs w:val="24"/>
      <w:lang w:eastAsia="ru-RU"/>
    </w:rPr>
  </w:style>
  <w:style w:type="paragraph" w:styleId="CommentText">
    <w:name w:val="annotation text"/>
    <w:basedOn w:val="Normal"/>
    <w:link w:val="CommentTextChar"/>
    <w:uiPriority w:val="99"/>
    <w:semiHidden/>
    <w:unhideWhenUsed/>
    <w:rsid w:val="004C4458"/>
    <w:pPr>
      <w:spacing w:after="0" w:line="240" w:lineRule="auto"/>
    </w:pPr>
    <w:rPr>
      <w:rFonts w:ascii="Times New Roman" w:eastAsia="Times New Roman" w:hAnsi="Times New Roman" w:cs="Times New Roman"/>
      <w:sz w:val="24"/>
      <w:szCs w:val="24"/>
      <w:lang w:eastAsia="ru-RU"/>
    </w:rPr>
  </w:style>
  <w:style w:type="character" w:customStyle="1" w:styleId="CommentSubjectChar">
    <w:name w:val="Comment Subject Char"/>
    <w:basedOn w:val="CommentTextChar"/>
    <w:link w:val="CommentSubject"/>
    <w:uiPriority w:val="99"/>
    <w:semiHidden/>
    <w:rsid w:val="004C4458"/>
    <w:rPr>
      <w:b/>
      <w:bCs/>
      <w:sz w:val="20"/>
      <w:szCs w:val="20"/>
    </w:rPr>
  </w:style>
  <w:style w:type="paragraph" w:styleId="CommentSubject">
    <w:name w:val="annotation subject"/>
    <w:basedOn w:val="CommentText"/>
    <w:next w:val="CommentText"/>
    <w:link w:val="CommentSubjectChar"/>
    <w:uiPriority w:val="99"/>
    <w:semiHidden/>
    <w:unhideWhenUsed/>
    <w:rsid w:val="004C4458"/>
    <w:rPr>
      <w:b/>
      <w:bCs/>
      <w:sz w:val="20"/>
      <w:szCs w:val="20"/>
    </w:rPr>
  </w:style>
</w:styles>
</file>

<file path=word/webSettings.xml><?xml version="1.0" encoding="utf-8"?>
<w:webSettings xmlns:r="http://schemas.openxmlformats.org/officeDocument/2006/relationships" xmlns:w="http://schemas.openxmlformats.org/wordprocessingml/2006/main">
  <w:divs>
    <w:div w:id="542180632">
      <w:bodyDiv w:val="1"/>
      <w:marLeft w:val="0"/>
      <w:marRight w:val="0"/>
      <w:marTop w:val="0"/>
      <w:marBottom w:val="0"/>
      <w:divBdr>
        <w:top w:val="none" w:sz="0" w:space="0" w:color="auto"/>
        <w:left w:val="none" w:sz="0" w:space="0" w:color="auto"/>
        <w:bottom w:val="none" w:sz="0" w:space="0" w:color="auto"/>
        <w:right w:val="none" w:sz="0" w:space="0" w:color="auto"/>
      </w:divBdr>
    </w:div>
    <w:div w:id="1068456146">
      <w:bodyDiv w:val="1"/>
      <w:marLeft w:val="0"/>
      <w:marRight w:val="0"/>
      <w:marTop w:val="0"/>
      <w:marBottom w:val="0"/>
      <w:divBdr>
        <w:top w:val="none" w:sz="0" w:space="0" w:color="auto"/>
        <w:left w:val="none" w:sz="0" w:space="0" w:color="auto"/>
        <w:bottom w:val="none" w:sz="0" w:space="0" w:color="auto"/>
        <w:right w:val="none" w:sz="0" w:space="0" w:color="auto"/>
      </w:divBdr>
    </w:div>
    <w:div w:id="1118136661">
      <w:bodyDiv w:val="1"/>
      <w:marLeft w:val="0"/>
      <w:marRight w:val="0"/>
      <w:marTop w:val="0"/>
      <w:marBottom w:val="0"/>
      <w:divBdr>
        <w:top w:val="none" w:sz="0" w:space="0" w:color="auto"/>
        <w:left w:val="none" w:sz="0" w:space="0" w:color="auto"/>
        <w:bottom w:val="none" w:sz="0" w:space="0" w:color="auto"/>
        <w:right w:val="none" w:sz="0" w:space="0" w:color="auto"/>
      </w:divBdr>
    </w:div>
    <w:div w:id="13446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LAB\&#1042;&#1042;&#1055;_&#1080;&#1085;&#1077;&#1088;&#1094;&#1080;&#1103;_&#1062;&#1057;&#105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chir\Downloads\&#1075;&#1088;&#1072;&#1092;&#1080;&#108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LAB\&#1057;&#1090;&#1088;&#1072;&#1085;&#1099;%20&#1042;&#1042;&#10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4262048500897301E-2"/>
          <c:y val="1.7856159559445802E-2"/>
          <c:w val="0.93694713463573265"/>
          <c:h val="0.82374443910181605"/>
        </c:manualLayout>
      </c:layout>
      <c:barChart>
        <c:barDir val="col"/>
        <c:grouping val="stacked"/>
        <c:ser>
          <c:idx val="1"/>
          <c:order val="1"/>
          <c:tx>
            <c:strRef>
              <c:f>'лист 1'!$A$58</c:f>
              <c:strCache>
                <c:ptCount val="1"/>
                <c:pt idx="0">
                  <c:v>Сырье, % от добавленной стоимости</c:v>
                </c:pt>
              </c:strCache>
            </c:strRef>
          </c:tx>
          <c:spPr>
            <a:solidFill>
              <a:schemeClr val="accent2">
                <a:lumMod val="60000"/>
                <a:lumOff val="40000"/>
              </a:schemeClr>
            </a:solidFill>
          </c:spPr>
          <c:dLbls>
            <c:spPr>
              <a:noFill/>
              <a:ln>
                <a:noFill/>
              </a:ln>
              <a:effectLst/>
            </c:spPr>
            <c:showVal val="1"/>
            <c:extLst>
              <c:ext xmlns:c15="http://schemas.microsoft.com/office/drawing/2012/chart" uri="{CE6537A1-D6FC-4f65-9D91-7224C49458BB}">
                <c15:layout/>
                <c15:showLeaderLines val="0"/>
              </c:ext>
            </c:extLst>
          </c:dLbls>
          <c:cat>
            <c:numRef>
              <c:f>'лист 1'!$B$56:$AB$56</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'лист 1'!$B$58:$AB$58</c:f>
              <c:numCache>
                <c:formatCode>General</c:formatCode>
                <c:ptCount val="27"/>
                <c:pt idx="0" formatCode="0">
                  <c:v>8</c:v>
                </c:pt>
                <c:pt idx="9" formatCode="0">
                  <c:v>14</c:v>
                </c:pt>
                <c:pt idx="15" formatCode="0">
                  <c:v>21</c:v>
                </c:pt>
                <c:pt idx="19" formatCode="0">
                  <c:v>15</c:v>
                </c:pt>
                <c:pt idx="26" formatCode="0">
                  <c:v>15</c:v>
                </c:pt>
              </c:numCache>
            </c:numRef>
          </c:val>
        </c:ser>
        <c:ser>
          <c:idx val="2"/>
          <c:order val="2"/>
          <c:tx>
            <c:strRef>
              <c:f>'лист 1'!$A$59</c:f>
              <c:strCache>
                <c:ptCount val="1"/>
                <c:pt idx="0">
                  <c:v>Обработка, % от добавленной стоимости</c:v>
                </c:pt>
              </c:strCache>
            </c:strRef>
          </c:tx>
          <c:spPr>
            <a:solidFill>
              <a:schemeClr val="accent5">
                <a:lumMod val="75000"/>
              </a:schemeClr>
            </a:solidFill>
          </c:spPr>
          <c:dLbls>
            <c:spPr>
              <a:noFill/>
              <a:ln>
                <a:noFill/>
              </a:ln>
              <a:effectLst/>
            </c:spPr>
            <c:showVal val="1"/>
            <c:extLst>
              <c:ext xmlns:c15="http://schemas.microsoft.com/office/drawing/2012/chart" uri="{CE6537A1-D6FC-4f65-9D91-7224C49458BB}">
                <c15:layout/>
                <c15:showLeaderLines val="0"/>
              </c:ext>
            </c:extLst>
          </c:dLbls>
          <c:cat>
            <c:numRef>
              <c:f>'лист 1'!$B$56:$AB$56</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'лист 1'!$B$59:$AB$59</c:f>
              <c:numCache>
                <c:formatCode>General</c:formatCode>
                <c:ptCount val="27"/>
                <c:pt idx="0" formatCode="0">
                  <c:v>31</c:v>
                </c:pt>
                <c:pt idx="9" formatCode="0">
                  <c:v>12</c:v>
                </c:pt>
                <c:pt idx="15" formatCode="0">
                  <c:v>10</c:v>
                </c:pt>
                <c:pt idx="19" formatCode="0">
                  <c:v>9</c:v>
                </c:pt>
                <c:pt idx="26" formatCode="0">
                  <c:v>9</c:v>
                </c:pt>
              </c:numCache>
            </c:numRef>
          </c:val>
        </c:ser>
        <c:gapWidth val="0"/>
        <c:overlap val="100"/>
        <c:axId val="319518592"/>
        <c:axId val="320355328"/>
      </c:barChart>
      <c:lineChart>
        <c:grouping val="standard"/>
        <c:ser>
          <c:idx val="0"/>
          <c:order val="0"/>
          <c:tx>
            <c:strRef>
              <c:f>'лист 1'!$A$57</c:f>
              <c:strCache>
                <c:ptCount val="1"/>
                <c:pt idx="0">
                  <c:v>Динамика ВВП, 1990 г.=1 (правая шкала)</c:v>
                </c:pt>
              </c:strCache>
            </c:strRef>
          </c:tx>
          <c:spPr>
            <a:ln>
              <a:solidFill>
                <a:srgbClr val="C00000"/>
              </a:solidFill>
            </a:ln>
          </c:spPr>
          <c:marker>
            <c:symbol val="none"/>
          </c:marker>
          <c:cat>
            <c:numRef>
              <c:f>'лист 1'!$B$56:$AB$56</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'лист 1'!$B$57:$AB$57</c:f>
              <c:numCache>
                <c:formatCode>General</c:formatCode>
                <c:ptCount val="27"/>
                <c:pt idx="0">
                  <c:v>1</c:v>
                </c:pt>
                <c:pt idx="1">
                  <c:v>0.88900000000000001</c:v>
                </c:pt>
                <c:pt idx="2">
                  <c:v>0.70853299999999808</c:v>
                </c:pt>
                <c:pt idx="3">
                  <c:v>0.64689062900000205</c:v>
                </c:pt>
                <c:pt idx="4">
                  <c:v>0.56473551911700004</c:v>
                </c:pt>
                <c:pt idx="5">
                  <c:v>0.54158136283320257</c:v>
                </c:pt>
                <c:pt idx="6">
                  <c:v>0.5220844337712065</c:v>
                </c:pt>
                <c:pt idx="7">
                  <c:v>0.52939361584400502</c:v>
                </c:pt>
                <c:pt idx="8">
                  <c:v>0.50133575420427301</c:v>
                </c:pt>
                <c:pt idx="9">
                  <c:v>0.53342124247334877</c:v>
                </c:pt>
                <c:pt idx="10">
                  <c:v>0.58676336672068008</c:v>
                </c:pt>
                <c:pt idx="11">
                  <c:v>0.61668829842343931</c:v>
                </c:pt>
                <c:pt idx="12">
                  <c:v>0.64567264844934003</c:v>
                </c:pt>
                <c:pt idx="13">
                  <c:v>0.69280675178613849</c:v>
                </c:pt>
                <c:pt idx="14">
                  <c:v>0.74268883791474405</c:v>
                </c:pt>
                <c:pt idx="15">
                  <c:v>0.79022092354128604</c:v>
                </c:pt>
                <c:pt idx="16">
                  <c:v>0.85501903927167278</c:v>
                </c:pt>
                <c:pt idx="17">
                  <c:v>0.9276956576097668</c:v>
                </c:pt>
                <c:pt idx="18">
                  <c:v>0.97593583180547405</c:v>
                </c:pt>
                <c:pt idx="19">
                  <c:v>0.89981283692464498</c:v>
                </c:pt>
                <c:pt idx="20">
                  <c:v>0.94030441458625402</c:v>
                </c:pt>
                <c:pt idx="21">
                  <c:v>0.98073750441346297</c:v>
                </c:pt>
                <c:pt idx="22">
                  <c:v>1.0169999999999972</c:v>
                </c:pt>
                <c:pt idx="23">
                  <c:v>1.0349999999999973</c:v>
                </c:pt>
                <c:pt idx="24">
                  <c:v>1.042</c:v>
                </c:pt>
                <c:pt idx="25">
                  <c:v>1.0129999999999972</c:v>
                </c:pt>
                <c:pt idx="26">
                  <c:v>1.0109999999999972</c:v>
                </c:pt>
              </c:numCache>
            </c:numRef>
          </c:val>
        </c:ser>
        <c:marker val="1"/>
        <c:axId val="320402560"/>
        <c:axId val="320361216"/>
      </c:lineChart>
      <c:catAx>
        <c:axId val="319518592"/>
        <c:scaling>
          <c:orientation val="minMax"/>
        </c:scaling>
        <c:axPos val="b"/>
        <c:numFmt formatCode="General" sourceLinked="1"/>
        <c:tickLblPos val="nextTo"/>
        <c:crossAx val="320355328"/>
        <c:crosses val="autoZero"/>
        <c:auto val="1"/>
        <c:lblAlgn val="ctr"/>
        <c:lblOffset val="100"/>
      </c:catAx>
      <c:valAx>
        <c:axId val="320355328"/>
        <c:scaling>
          <c:orientation val="minMax"/>
        </c:scaling>
        <c:axPos val="l"/>
        <c:numFmt formatCode="0" sourceLinked="1"/>
        <c:tickLblPos val="nextTo"/>
        <c:crossAx val="319518592"/>
        <c:crosses val="autoZero"/>
        <c:crossBetween val="between"/>
      </c:valAx>
      <c:valAx>
        <c:axId val="320361216"/>
        <c:scaling>
          <c:orientation val="minMax"/>
          <c:min val="0"/>
        </c:scaling>
        <c:axPos val="r"/>
        <c:numFmt formatCode="General" sourceLinked="1"/>
        <c:tickLblPos val="nextTo"/>
        <c:crossAx val="320402560"/>
        <c:crosses val="max"/>
        <c:crossBetween val="between"/>
      </c:valAx>
      <c:catAx>
        <c:axId val="320402560"/>
        <c:scaling>
          <c:orientation val="minMax"/>
        </c:scaling>
        <c:delete val="1"/>
        <c:axPos val="b"/>
        <c:numFmt formatCode="General" sourceLinked="1"/>
        <c:tickLblPos val="none"/>
        <c:crossAx val="320361216"/>
        <c:crosses val="autoZero"/>
        <c:auto val="1"/>
        <c:lblAlgn val="ctr"/>
        <c:lblOffset val="100"/>
      </c:catAx>
    </c:plotArea>
    <c:legend>
      <c:legendPos val="b"/>
      <c:txPr>
        <a:bodyPr/>
        <a:lstStyle/>
        <a:p>
          <a:pPr>
            <a:defRPr sz="1200"/>
          </a:pPr>
          <a:endParaRPr lang="ru-RU"/>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'График '!$A$107</c:f>
              <c:strCache>
                <c:ptCount val="1"/>
                <c:pt idx="0">
                  <c:v>Китай</c:v>
                </c:pt>
              </c:strCache>
            </c:strRef>
          </c:tx>
          <c:spPr>
            <a:ln w="28575" cap="rnd">
              <a:solidFill>
                <a:schemeClr val="accent1"/>
              </a:solidFill>
              <a:round/>
            </a:ln>
            <a:effectLst/>
          </c:spPr>
          <c:marker>
            <c:symbol val="none"/>
          </c:marker>
          <c:dLbls>
            <c:dLbl>
              <c:idx val="19"/>
              <c:layout>
                <c:manualLayout>
                  <c:x val="-1.9286816389508025E-2"/>
                  <c:y val="5.8608058608058441E-2"/>
                </c:manualLayout>
              </c:layout>
              <c:spPr/>
              <c:txPr>
                <a:bodyPr/>
                <a:lstStyle/>
                <a:p>
                  <a:pPr>
                    <a:defRPr sz="1200" b="1">
                      <a:solidFill>
                        <a:schemeClr val="accent1">
                          <a:lumMod val="75000"/>
                        </a:schemeClr>
                      </a:solidFill>
                    </a:defRPr>
                  </a:pPr>
                  <a:endParaRPr lang="ru-RU"/>
                </a:p>
              </c:txPr>
              <c:showVal val="1"/>
              <c:extLst>
                <c:ext xmlns:c15="http://schemas.microsoft.com/office/drawing/2012/chart" uri="{CE6537A1-D6FC-4f65-9D91-7224C49458BB}">
                  <c15:layout/>
                </c:ext>
              </c:extLst>
            </c:dLbl>
            <c:delete val="1"/>
            <c:spPr>
              <a:noFill/>
              <a:ln>
                <a:noFill/>
              </a:ln>
              <a:effectLst/>
            </c:spPr>
            <c:extLst>
              <c:ext xmlns:c15="http://schemas.microsoft.com/office/drawing/2012/chart" uri="{CE6537A1-D6FC-4f65-9D91-7224C49458BB}">
                <c15:showLeaderLines val="0"/>
              </c:ext>
            </c:extLst>
          </c:dLbls>
          <c:cat>
            <c:numRef>
              <c:f>'График '!$B$3:$U$3</c:f>
              <c:numCache>
                <c:formatCode>0</c:formatCode>
                <c:ptCount val="20"/>
                <c:pt idx="0" formatCode="@">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formatCode="General">
                  <c:v>2014</c:v>
                </c:pt>
              </c:numCache>
            </c:numRef>
          </c:cat>
          <c:val>
            <c:numRef>
              <c:f>'График '!$B$107:$U$107</c:f>
              <c:numCache>
                <c:formatCode>General</c:formatCode>
                <c:ptCount val="20"/>
                <c:pt idx="0">
                  <c:v>7.6300003147039579</c:v>
                </c:pt>
                <c:pt idx="1">
                  <c:v>6.5386876475712006</c:v>
                </c:pt>
                <c:pt idx="2" formatCode="0.0">
                  <c:v>6.2849800164176255</c:v>
                </c:pt>
                <c:pt idx="3" formatCode="0.0">
                  <c:v>5.8641100113217961</c:v>
                </c:pt>
                <c:pt idx="4" formatCode="0.0">
                  <c:v>6.3918795991284476</c:v>
                </c:pt>
                <c:pt idx="5" formatCode="0.0">
                  <c:v>7.6203684728427703</c:v>
                </c:pt>
                <c:pt idx="6" formatCode="0.0">
                  <c:v>7.4761747782480654</c:v>
                </c:pt>
                <c:pt idx="7" formatCode="0.0">
                  <c:v>8.253854562327259</c:v>
                </c:pt>
                <c:pt idx="8" formatCode="0.0">
                  <c:v>9.6030979998000845</c:v>
                </c:pt>
                <c:pt idx="9" formatCode="0.0">
                  <c:v>10.79376273252333</c:v>
                </c:pt>
                <c:pt idx="10" formatCode="0.0">
                  <c:v>10.534142918809357</c:v>
                </c:pt>
                <c:pt idx="11" formatCode="0.0">
                  <c:v>10.15258392471002</c:v>
                </c:pt>
                <c:pt idx="12" formatCode="0.0">
                  <c:v>9.3866177764388006</c:v>
                </c:pt>
                <c:pt idx="13" formatCode="0.0">
                  <c:v>8.6329000593396508</c:v>
                </c:pt>
                <c:pt idx="14" formatCode="0.0">
                  <c:v>7.0557677961825425</c:v>
                </c:pt>
                <c:pt idx="15" formatCode="0.0">
                  <c:v>7.6676613569634666</c:v>
                </c:pt>
                <c:pt idx="16" formatCode="0.0">
                  <c:v>7.6498871705840283</c:v>
                </c:pt>
                <c:pt idx="17" formatCode="0.0">
                  <c:v>6.942725438122423</c:v>
                </c:pt>
                <c:pt idx="18" formatCode="0.0">
                  <c:v>6.4696220821328891</c:v>
                </c:pt>
                <c:pt idx="19" formatCode="0.0">
                  <c:v>5.9136413378813435</c:v>
                </c:pt>
              </c:numCache>
            </c:numRef>
          </c:val>
        </c:ser>
        <c:ser>
          <c:idx val="1"/>
          <c:order val="1"/>
          <c:tx>
            <c:strRef>
              <c:f>'График '!$A$108</c:f>
              <c:strCache>
                <c:ptCount val="1"/>
                <c:pt idx="0">
                  <c:v>Бразилия</c:v>
                </c:pt>
              </c:strCache>
            </c:strRef>
          </c:tx>
          <c:spPr>
            <a:ln w="28575" cap="rnd">
              <a:solidFill>
                <a:schemeClr val="accent2"/>
              </a:solidFill>
              <a:round/>
            </a:ln>
            <a:effectLst/>
          </c:spPr>
          <c:marker>
            <c:symbol val="none"/>
          </c:marker>
          <c:cat>
            <c:numRef>
              <c:f>'График '!$B$3:$U$3</c:f>
              <c:numCache>
                <c:formatCode>0</c:formatCode>
                <c:ptCount val="20"/>
                <c:pt idx="0" formatCode="@">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formatCode="General">
                  <c:v>2014</c:v>
                </c:pt>
              </c:numCache>
            </c:numRef>
          </c:cat>
          <c:val>
            <c:numRef>
              <c:f>'График '!$B$108:$U$108</c:f>
              <c:numCache>
                <c:formatCode>General</c:formatCode>
                <c:ptCount val="20"/>
                <c:pt idx="5" formatCode="0.0">
                  <c:v>6.2033977621178504</c:v>
                </c:pt>
                <c:pt idx="6" formatCode="0.0">
                  <c:v>7.104749889697989</c:v>
                </c:pt>
                <c:pt idx="7" formatCode="0.0">
                  <c:v>6.6692588320630142</c:v>
                </c:pt>
                <c:pt idx="8" formatCode="0.0">
                  <c:v>6.8331296057968904</c:v>
                </c:pt>
                <c:pt idx="9" formatCode="0.0">
                  <c:v>6.8972404073189661</c:v>
                </c:pt>
                <c:pt idx="10" formatCode="0.0">
                  <c:v>6.2705517678784455</c:v>
                </c:pt>
                <c:pt idx="11" formatCode="0.0">
                  <c:v>6.2891374628471954</c:v>
                </c:pt>
                <c:pt idx="12" formatCode="0.0">
                  <c:v>6.4179075214738486</c:v>
                </c:pt>
                <c:pt idx="13" formatCode="0.0">
                  <c:v>7.2466515065648682</c:v>
                </c:pt>
                <c:pt idx="14" formatCode="0.0">
                  <c:v>6.1853126363339266</c:v>
                </c:pt>
                <c:pt idx="15" formatCode="0.0">
                  <c:v>6.5700435234252943</c:v>
                </c:pt>
                <c:pt idx="16" formatCode="0.0">
                  <c:v>6.8675031000890456</c:v>
                </c:pt>
                <c:pt idx="17" formatCode="0.0">
                  <c:v>7.2650979369473978</c:v>
                </c:pt>
                <c:pt idx="18" formatCode="0.0">
                  <c:v>7.6802165276895877</c:v>
                </c:pt>
                <c:pt idx="19" formatCode="0.0">
                  <c:v>7.6457561498596416</c:v>
                </c:pt>
              </c:numCache>
            </c:numRef>
          </c:val>
        </c:ser>
        <c:ser>
          <c:idx val="2"/>
          <c:order val="2"/>
          <c:tx>
            <c:strRef>
              <c:f>'График '!$A$109</c:f>
              <c:strCache>
                <c:ptCount val="1"/>
                <c:pt idx="0">
                  <c:v>Индия</c:v>
                </c:pt>
              </c:strCache>
            </c:strRef>
          </c:tx>
          <c:spPr>
            <a:ln w="28575" cap="rnd">
              <a:solidFill>
                <a:schemeClr val="accent3"/>
              </a:solidFill>
              <a:round/>
            </a:ln>
            <a:effectLst/>
          </c:spPr>
          <c:marker>
            <c:symbol val="none"/>
          </c:marker>
          <c:cat>
            <c:numRef>
              <c:f>'График '!$B$3:$U$3</c:f>
              <c:numCache>
                <c:formatCode>0</c:formatCode>
                <c:ptCount val="20"/>
                <c:pt idx="0" formatCode="@">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formatCode="General">
                  <c:v>2014</c:v>
                </c:pt>
              </c:numCache>
            </c:numRef>
          </c:cat>
          <c:val>
            <c:numRef>
              <c:f>'График '!$B$109:$U$109</c:f>
              <c:numCache>
                <c:formatCode>General</c:formatCode>
                <c:ptCount val="20"/>
                <c:pt idx="0">
                  <c:v>6.0008004919442417</c:v>
                </c:pt>
                <c:pt idx="1">
                  <c:v>6.0777880778299735</c:v>
                </c:pt>
                <c:pt idx="2" formatCode="0.0">
                  <c:v>5.9039182589951045</c:v>
                </c:pt>
                <c:pt idx="3" formatCode="0.0">
                  <c:v>6.3782130628807483</c:v>
                </c:pt>
                <c:pt idx="4" formatCode="0.0">
                  <c:v>6.8627165268286801</c:v>
                </c:pt>
                <c:pt idx="5" formatCode="0.0">
                  <c:v>7.4039036087746934</c:v>
                </c:pt>
                <c:pt idx="6" formatCode="0.0">
                  <c:v>7.1071401057105579</c:v>
                </c:pt>
                <c:pt idx="7" formatCode="0.0">
                  <c:v>7.6435991537741721</c:v>
                </c:pt>
                <c:pt idx="8" formatCode="0.0">
                  <c:v>7.4863293323983511</c:v>
                </c:pt>
                <c:pt idx="9" formatCode="0.0">
                  <c:v>9.3117956864220535</c:v>
                </c:pt>
                <c:pt idx="10" formatCode="0.0">
                  <c:v>10.471411852811469</c:v>
                </c:pt>
                <c:pt idx="11" formatCode="0.0">
                  <c:v>11.420802534608127</c:v>
                </c:pt>
                <c:pt idx="12" formatCode="0.0">
                  <c:v>11.339774857742015</c:v>
                </c:pt>
                <c:pt idx="13" formatCode="0.0">
                  <c:v>11.431947337051168</c:v>
                </c:pt>
                <c:pt idx="14" formatCode="0.0">
                  <c:v>10.183954126685396</c:v>
                </c:pt>
                <c:pt idx="15" formatCode="0.0">
                  <c:v>10.727407622503499</c:v>
                </c:pt>
                <c:pt idx="16" formatCode="0.0">
                  <c:v>10.564863866420799</c:v>
                </c:pt>
                <c:pt idx="17" formatCode="0.0">
                  <c:v>10.897256159929155</c:v>
                </c:pt>
                <c:pt idx="18" formatCode="0.0">
                  <c:v>10.202575265324</c:v>
                </c:pt>
                <c:pt idx="19" formatCode="0.0">
                  <c:v>9.3372004052533697</c:v>
                </c:pt>
              </c:numCache>
            </c:numRef>
          </c:val>
        </c:ser>
        <c:ser>
          <c:idx val="3"/>
          <c:order val="3"/>
          <c:tx>
            <c:strRef>
              <c:f>'График '!$A$110</c:f>
              <c:strCache>
                <c:ptCount val="1"/>
                <c:pt idx="0">
                  <c:v>Япония</c:v>
                </c:pt>
              </c:strCache>
            </c:strRef>
          </c:tx>
          <c:spPr>
            <a:ln w="28575" cap="rnd">
              <a:solidFill>
                <a:schemeClr val="accent4"/>
              </a:solidFill>
              <a:round/>
            </a:ln>
            <a:effectLst/>
          </c:spPr>
          <c:marker>
            <c:symbol val="none"/>
          </c:marker>
          <c:cat>
            <c:numRef>
              <c:f>'График '!$B$3:$U$3</c:f>
              <c:numCache>
                <c:formatCode>0</c:formatCode>
                <c:ptCount val="20"/>
                <c:pt idx="0" formatCode="@">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formatCode="General">
                  <c:v>2014</c:v>
                </c:pt>
              </c:numCache>
            </c:numRef>
          </c:cat>
          <c:val>
            <c:numRef>
              <c:f>'График '!$B$110:$U$110</c:f>
              <c:numCache>
                <c:formatCode>General</c:formatCode>
                <c:ptCount val="20"/>
                <c:pt idx="0">
                  <c:v>3.7075919580128467</c:v>
                </c:pt>
                <c:pt idx="1">
                  <c:v>4.4109083208490087</c:v>
                </c:pt>
                <c:pt idx="2" formatCode="0.0">
                  <c:v>4.6178036371502547</c:v>
                </c:pt>
                <c:pt idx="3" formatCode="0.0">
                  <c:v>4.3296785271910885</c:v>
                </c:pt>
                <c:pt idx="4" formatCode="0.0">
                  <c:v>4.1841548206720578</c:v>
                </c:pt>
                <c:pt idx="5" formatCode="0.0">
                  <c:v>4.5953657159492103</c:v>
                </c:pt>
                <c:pt idx="6" formatCode="0.0">
                  <c:v>4.8282275672028243</c:v>
                </c:pt>
                <c:pt idx="7" formatCode="0.0">
                  <c:v>4.9292088120083823</c:v>
                </c:pt>
                <c:pt idx="8" formatCode="0.0">
                  <c:v>5.0935044918596173</c:v>
                </c:pt>
                <c:pt idx="9" formatCode="0.0">
                  <c:v>5.5534550395979645</c:v>
                </c:pt>
                <c:pt idx="10" formatCode="0.0">
                  <c:v>6.2373281555928806</c:v>
                </c:pt>
                <c:pt idx="11" formatCode="0.0">
                  <c:v>7.1543650747535166</c:v>
                </c:pt>
                <c:pt idx="12" formatCode="0.0">
                  <c:v>7.6484448315464784</c:v>
                </c:pt>
                <c:pt idx="13" formatCode="0.0">
                  <c:v>8.1396728160398446</c:v>
                </c:pt>
                <c:pt idx="14" formatCode="0.0">
                  <c:v>6.1076734224909153</c:v>
                </c:pt>
                <c:pt idx="15" formatCode="0.0">
                  <c:v>6.9878541759488106</c:v>
                </c:pt>
                <c:pt idx="16" formatCode="0.0">
                  <c:v>7.8323903636901004</c:v>
                </c:pt>
                <c:pt idx="17" formatCode="0.0">
                  <c:v>8.0593854393849345</c:v>
                </c:pt>
                <c:pt idx="18" formatCode="0.0">
                  <c:v>9.1308692082877663</c:v>
                </c:pt>
                <c:pt idx="19" formatCode="0.0">
                  <c:v>10.174991433679448</c:v>
                </c:pt>
              </c:numCache>
            </c:numRef>
          </c:val>
        </c:ser>
        <c:ser>
          <c:idx val="4"/>
          <c:order val="4"/>
          <c:tx>
            <c:strRef>
              <c:f>'График '!$A$111</c:f>
              <c:strCache>
                <c:ptCount val="1"/>
                <c:pt idx="0">
                  <c:v>США</c:v>
                </c:pt>
              </c:strCache>
            </c:strRef>
          </c:tx>
          <c:spPr>
            <a:ln w="28575" cap="rnd">
              <a:solidFill>
                <a:schemeClr val="accent5"/>
              </a:solidFill>
              <a:round/>
            </a:ln>
            <a:effectLst/>
          </c:spPr>
          <c:marker>
            <c:symbol val="none"/>
          </c:marker>
          <c:cat>
            <c:numRef>
              <c:f>'График '!$B$3:$U$3</c:f>
              <c:numCache>
                <c:formatCode>0</c:formatCode>
                <c:ptCount val="20"/>
                <c:pt idx="0" formatCode="@">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formatCode="General">
                  <c:v>2014</c:v>
                </c:pt>
              </c:numCache>
            </c:numRef>
          </c:cat>
          <c:val>
            <c:numRef>
              <c:f>'График '!$B$111:$U$111</c:f>
              <c:numCache>
                <c:formatCode>General</c:formatCode>
                <c:ptCount val="20"/>
                <c:pt idx="0">
                  <c:v>6.1733203130269203</c:v>
                </c:pt>
                <c:pt idx="1">
                  <c:v>6.2183805889979356</c:v>
                </c:pt>
                <c:pt idx="2" formatCode="0.0">
                  <c:v>6.366570903201449</c:v>
                </c:pt>
                <c:pt idx="3" formatCode="0.0">
                  <c:v>6.131332391296648</c:v>
                </c:pt>
                <c:pt idx="4" formatCode="0.0">
                  <c:v>6.4494952196913129</c:v>
                </c:pt>
                <c:pt idx="5" formatCode="0.0">
                  <c:v>7.0609316115515846</c:v>
                </c:pt>
                <c:pt idx="6" formatCode="0.0">
                  <c:v>6.6268847409933445</c:v>
                </c:pt>
                <c:pt idx="7" formatCode="0.0">
                  <c:v>6.6575891308834683</c:v>
                </c:pt>
                <c:pt idx="8" formatCode="0.0">
                  <c:v>6.8616612656370464</c:v>
                </c:pt>
                <c:pt idx="9" formatCode="0.0">
                  <c:v>7.4484517732562763</c:v>
                </c:pt>
                <c:pt idx="10" formatCode="0.0">
                  <c:v>7.7354337529241901</c:v>
                </c:pt>
                <c:pt idx="11" formatCode="0.0">
                  <c:v>8.0773551162387829</c:v>
                </c:pt>
                <c:pt idx="12" formatCode="0.0">
                  <c:v>8.1791559519840025</c:v>
                </c:pt>
                <c:pt idx="13" formatCode="0.0">
                  <c:v>8.5751024080858524</c:v>
                </c:pt>
                <c:pt idx="14" formatCode="0.0">
                  <c:v>7.0680571350378987</c:v>
                </c:pt>
                <c:pt idx="15" formatCode="0.0">
                  <c:v>8.1408661385554986</c:v>
                </c:pt>
                <c:pt idx="16" formatCode="0.0">
                  <c:v>8.7311931976900627</c:v>
                </c:pt>
                <c:pt idx="17" formatCode="0.0">
                  <c:v>7.9847160927847414</c:v>
                </c:pt>
                <c:pt idx="18" formatCode="0.0">
                  <c:v>7.7681495760487662</c:v>
                </c:pt>
                <c:pt idx="19" formatCode="0.0">
                  <c:v>7.655152879735847</c:v>
                </c:pt>
              </c:numCache>
            </c:numRef>
          </c:val>
        </c:ser>
        <c:ser>
          <c:idx val="5"/>
          <c:order val="5"/>
          <c:tx>
            <c:strRef>
              <c:f>'График '!$A$112</c:f>
              <c:strCache>
                <c:ptCount val="1"/>
                <c:pt idx="0">
                  <c:v>Россия</c:v>
                </c:pt>
              </c:strCache>
            </c:strRef>
          </c:tx>
          <c:spPr>
            <a:ln w="28575" cap="rnd">
              <a:solidFill>
                <a:schemeClr val="accent6"/>
              </a:solidFill>
              <a:round/>
            </a:ln>
            <a:effectLst/>
          </c:spPr>
          <c:marker>
            <c:symbol val="none"/>
          </c:marker>
          <c:dLbls>
            <c:dLbl>
              <c:idx val="19"/>
              <c:layout>
                <c:manualLayout>
                  <c:x val="-6.4289387965026723E-3"/>
                  <c:y val="-5.1282051282051301E-2"/>
                </c:manualLayout>
              </c:layout>
              <c:tx>
                <c:rich>
                  <a:bodyPr/>
                  <a:lstStyle/>
                  <a:p>
                    <a:r>
                      <a:rPr lang="nb-NO" sz="1400" b="1" dirty="0">
                        <a:solidFill>
                          <a:srgbClr val="C00000"/>
                        </a:solidFill>
                      </a:rPr>
                      <a:t>11.6</a:t>
                    </a:r>
                  </a:p>
                </c:rich>
              </c:tx>
              <c:showVal val="1"/>
              <c:extLst>
                <c:ext xmlns:c15="http://schemas.microsoft.com/office/drawing/2012/chart" uri="{CE6537A1-D6FC-4f65-9D91-7224C49458BB}">
                  <c15:layout/>
                </c:ext>
              </c:extLst>
            </c:dLbl>
            <c:delete val="1"/>
            <c:spPr>
              <a:noFill/>
              <a:ln>
                <a:noFill/>
              </a:ln>
              <a:effectLst/>
            </c:spPr>
            <c:extLst>
              <c:ext xmlns:c15="http://schemas.microsoft.com/office/drawing/2012/chart" uri="{CE6537A1-D6FC-4f65-9D91-7224C49458BB}">
                <c15:showLeaderLines val="0"/>
              </c:ext>
            </c:extLst>
          </c:dLbls>
          <c:cat>
            <c:numRef>
              <c:f>'График '!$B$3:$U$3</c:f>
              <c:numCache>
                <c:formatCode>0</c:formatCode>
                <c:ptCount val="20"/>
                <c:pt idx="0" formatCode="@">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formatCode="General">
                  <c:v>2014</c:v>
                </c:pt>
              </c:numCache>
            </c:numRef>
          </c:cat>
          <c:val>
            <c:numRef>
              <c:f>'График '!$B$112:$U$112</c:f>
              <c:numCache>
                <c:formatCode>General</c:formatCode>
                <c:ptCount val="20"/>
                <c:pt idx="0">
                  <c:v>10.927500463421319</c:v>
                </c:pt>
                <c:pt idx="1">
                  <c:v>9.2213576786575935</c:v>
                </c:pt>
                <c:pt idx="2" formatCode="0.0">
                  <c:v>9.5340233509259971</c:v>
                </c:pt>
                <c:pt idx="3" formatCode="0.0">
                  <c:v>11.422611414250049</c:v>
                </c:pt>
                <c:pt idx="4" formatCode="0.0">
                  <c:v>13.409391726667819</c:v>
                </c:pt>
                <c:pt idx="5" formatCode="0.0">
                  <c:v>12.663709838893014</c:v>
                </c:pt>
                <c:pt idx="6" formatCode="0.0">
                  <c:v>11.675559080504062</c:v>
                </c:pt>
                <c:pt idx="7" formatCode="0.0">
                  <c:v>12.230158078663669</c:v>
                </c:pt>
                <c:pt idx="8" formatCode="0.0">
                  <c:v>12.017191187670528</c:v>
                </c:pt>
                <c:pt idx="9" formatCode="0.0">
                  <c:v>11.298270903151799</c:v>
                </c:pt>
                <c:pt idx="10" formatCode="0.0">
                  <c:v>11.28572967727983</c:v>
                </c:pt>
                <c:pt idx="11" formatCode="0.0">
                  <c:v>11.139558452368012</c:v>
                </c:pt>
                <c:pt idx="12" formatCode="0.0">
                  <c:v>11.10944848242049</c:v>
                </c:pt>
                <c:pt idx="13" formatCode="0.0">
                  <c:v>11.54779417386702</c:v>
                </c:pt>
                <c:pt idx="14" formatCode="0.0">
                  <c:v>10.239632529466677</c:v>
                </c:pt>
                <c:pt idx="15" formatCode="0.0">
                  <c:v>11.096158281556438</c:v>
                </c:pt>
                <c:pt idx="16" formatCode="0.0">
                  <c:v>11.643977717260498</c:v>
                </c:pt>
                <c:pt idx="17" formatCode="0.0">
                  <c:v>11.982040454655344</c:v>
                </c:pt>
                <c:pt idx="18" formatCode="0.0">
                  <c:v>11.738893106054046</c:v>
                </c:pt>
                <c:pt idx="19" formatCode="0.0">
                  <c:v>11.600116237765874</c:v>
                </c:pt>
              </c:numCache>
            </c:numRef>
          </c:val>
        </c:ser>
        <c:marker val="1"/>
        <c:axId val="365693568"/>
        <c:axId val="365803392"/>
      </c:lineChart>
      <c:catAx>
        <c:axId val="365693568"/>
        <c:scaling>
          <c:orientation val="minMax"/>
        </c:scaling>
        <c:axPos val="b"/>
        <c:numFmt formatCode="@"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365803392"/>
        <c:crosses val="autoZero"/>
        <c:auto val="1"/>
        <c:lblAlgn val="ctr"/>
        <c:lblOffset val="100"/>
      </c:catAx>
      <c:valAx>
        <c:axId val="365803392"/>
        <c:scaling>
          <c:orientation val="minMax"/>
          <c:min val="3"/>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6935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085739282589702E-2"/>
          <c:y val="4.6380970519554886E-2"/>
          <c:w val="0.87635870516185477"/>
          <c:h val="0.69395181838903996"/>
        </c:manualLayout>
      </c:layout>
      <c:lineChart>
        <c:grouping val="standard"/>
        <c:ser>
          <c:idx val="0"/>
          <c:order val="0"/>
          <c:tx>
            <c:strRef>
              <c:f>Расчет!$S$17</c:f>
              <c:strCache>
                <c:ptCount val="1"/>
                <c:pt idx="0">
                  <c:v>Мир </c:v>
                </c:pt>
              </c:strCache>
            </c:strRef>
          </c:tx>
          <c:marker>
            <c:symbol val="none"/>
          </c:marker>
          <c:dLbls>
            <c:dLbl>
              <c:idx val="8"/>
              <c:showVal val="1"/>
            </c:dLbl>
            <c:dLbl>
              <c:idx val="9"/>
              <c:showVal val="1"/>
            </c:dLbl>
            <c:delete val="1"/>
            <c:txPr>
              <a:bodyPr/>
              <a:lstStyle/>
              <a:p>
                <a:pPr>
                  <a:defRPr b="1">
                    <a:solidFill>
                      <a:schemeClr val="accent1">
                        <a:lumMod val="75000"/>
                      </a:schemeClr>
                    </a:solidFill>
                  </a:defRPr>
                </a:pPr>
                <a:endParaRPr lang="ru-RU"/>
              </a:p>
            </c:txPr>
          </c:dLbls>
          <c:cat>
            <c:numRef>
              <c:f>Расчет!$T$4:$AB$4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Расчет!$T$17:$AB$17</c:f>
              <c:numCache>
                <c:formatCode>0.00</c:formatCode>
                <c:ptCount val="9"/>
                <c:pt idx="0">
                  <c:v>1</c:v>
                </c:pt>
                <c:pt idx="1">
                  <c:v>0.98264545944064263</c:v>
                </c:pt>
                <c:pt idx="2">
                  <c:v>1.0251618140476704</c:v>
                </c:pt>
                <c:pt idx="3">
                  <c:v>1.0575180380898419</c:v>
                </c:pt>
                <c:pt idx="4">
                  <c:v>1.0833112600003618</c:v>
                </c:pt>
                <c:pt idx="5">
                  <c:v>1.1114855163800459</c:v>
                </c:pt>
                <c:pt idx="6">
                  <c:v>1.1429493043556191</c:v>
                </c:pt>
                <c:pt idx="7">
                  <c:v>1.1742003431697101</c:v>
                </c:pt>
                <c:pt idx="8">
                  <c:v>1.2028248389893734</c:v>
                </c:pt>
              </c:numCache>
            </c:numRef>
          </c:val>
        </c:ser>
        <c:ser>
          <c:idx val="1"/>
          <c:order val="1"/>
          <c:tx>
            <c:strRef>
              <c:f>Расчет!$S$18</c:f>
              <c:strCache>
                <c:ptCount val="1"/>
                <c:pt idx="0">
                  <c:v>Россия </c:v>
                </c:pt>
              </c:strCache>
            </c:strRef>
          </c:tx>
          <c:marker>
            <c:symbol val="none"/>
          </c:marker>
          <c:dLbls>
            <c:dLbl>
              <c:idx val="8"/>
              <c:showVal val="1"/>
            </c:dLbl>
            <c:dLbl>
              <c:idx val="9"/>
              <c:showVal val="1"/>
            </c:dLbl>
            <c:delete val="1"/>
            <c:txPr>
              <a:bodyPr/>
              <a:lstStyle/>
              <a:p>
                <a:pPr>
                  <a:defRPr b="1">
                    <a:solidFill>
                      <a:srgbClr val="C00000"/>
                    </a:solidFill>
                  </a:defRPr>
                </a:pPr>
                <a:endParaRPr lang="ru-RU"/>
              </a:p>
            </c:txPr>
          </c:dLbls>
          <c:cat>
            <c:numRef>
              <c:f>Расчет!$T$4:$AB$4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Расчет!$T$18:$AB$18</c:f>
              <c:numCache>
                <c:formatCode>0.00</c:formatCode>
                <c:ptCount val="9"/>
                <c:pt idx="0">
                  <c:v>1</c:v>
                </c:pt>
                <c:pt idx="1">
                  <c:v>0.92179114973062737</c:v>
                </c:pt>
                <c:pt idx="2">
                  <c:v>0.96330609395714906</c:v>
                </c:pt>
                <c:pt idx="3">
                  <c:v>1.004383166663239</c:v>
                </c:pt>
                <c:pt idx="4">
                  <c:v>1.0397167825732632</c:v>
                </c:pt>
                <c:pt idx="5">
                  <c:v>1.0530194796107781</c:v>
                </c:pt>
                <c:pt idx="6">
                  <c:v>1.0607218770670785</c:v>
                </c:pt>
                <c:pt idx="7">
                  <c:v>1.0307221080231876</c:v>
                </c:pt>
                <c:pt idx="8">
                  <c:v>1.0284039007843226</c:v>
                </c:pt>
              </c:numCache>
            </c:numRef>
          </c:val>
        </c:ser>
        <c:ser>
          <c:idx val="2"/>
          <c:order val="2"/>
          <c:tx>
            <c:strRef>
              <c:f>Расчет!$S$19</c:f>
              <c:strCache>
                <c:ptCount val="1"/>
                <c:pt idx="0">
                  <c:v>Китай </c:v>
                </c:pt>
              </c:strCache>
            </c:strRef>
          </c:tx>
          <c:marker>
            <c:symbol val="none"/>
          </c:marker>
          <c:dLbls>
            <c:dLbl>
              <c:idx val="8"/>
              <c:showVal val="1"/>
            </c:dLbl>
            <c:dLbl>
              <c:idx val="9"/>
              <c:showVal val="1"/>
            </c:dLbl>
            <c:delete val="1"/>
            <c:txPr>
              <a:bodyPr/>
              <a:lstStyle/>
              <a:p>
                <a:pPr>
                  <a:defRPr b="1">
                    <a:solidFill>
                      <a:schemeClr val="accent3">
                        <a:lumMod val="50000"/>
                      </a:schemeClr>
                    </a:solidFill>
                  </a:defRPr>
                </a:pPr>
                <a:endParaRPr lang="ru-RU"/>
              </a:p>
            </c:txPr>
          </c:dLbls>
          <c:cat>
            <c:numRef>
              <c:f>Расчет!$T$4:$AB$4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Расчет!$T$19:$AB$19</c:f>
              <c:numCache>
                <c:formatCode>0.00</c:formatCode>
                <c:ptCount val="9"/>
                <c:pt idx="0">
                  <c:v>1</c:v>
                </c:pt>
                <c:pt idx="1">
                  <c:v>1.0939981317136764</c:v>
                </c:pt>
                <c:pt idx="2">
                  <c:v>1.2103573096669189</c:v>
                </c:pt>
                <c:pt idx="3">
                  <c:v>1.3257823446986001</c:v>
                </c:pt>
                <c:pt idx="4">
                  <c:v>1.4299392807087639</c:v>
                </c:pt>
                <c:pt idx="5">
                  <c:v>1.5408687529185439</c:v>
                </c:pt>
                <c:pt idx="6">
                  <c:v>1.6533162073791494</c:v>
                </c:pt>
                <c:pt idx="7">
                  <c:v>1.7673984120689687</c:v>
                </c:pt>
                <c:pt idx="8">
                  <c:v>1.8858141055558728</c:v>
                </c:pt>
              </c:numCache>
            </c:numRef>
          </c:val>
        </c:ser>
        <c:ser>
          <c:idx val="3"/>
          <c:order val="3"/>
          <c:tx>
            <c:strRef>
              <c:f>Расчет!$S$20</c:f>
              <c:strCache>
                <c:ptCount val="1"/>
                <c:pt idx="0">
                  <c:v>США</c:v>
                </c:pt>
              </c:strCache>
            </c:strRef>
          </c:tx>
          <c:marker>
            <c:symbol val="none"/>
          </c:marker>
          <c:dLbls>
            <c:dLbl>
              <c:idx val="8"/>
              <c:showVal val="1"/>
            </c:dLbl>
            <c:dLbl>
              <c:idx val="9"/>
              <c:showVal val="1"/>
            </c:dLbl>
            <c:delete val="1"/>
            <c:txPr>
              <a:bodyPr/>
              <a:lstStyle/>
              <a:p>
                <a:pPr>
                  <a:defRPr b="1">
                    <a:solidFill>
                      <a:schemeClr val="accent4">
                        <a:lumMod val="50000"/>
                      </a:schemeClr>
                    </a:solidFill>
                  </a:defRPr>
                </a:pPr>
                <a:endParaRPr lang="ru-RU"/>
              </a:p>
            </c:txPr>
          </c:dLbls>
          <c:cat>
            <c:numRef>
              <c:f>Расчет!$T$4:$AB$4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Расчет!$T$20:$AB$20</c:f>
              <c:numCache>
                <c:formatCode>0.00</c:formatCode>
                <c:ptCount val="9"/>
                <c:pt idx="0">
                  <c:v>1</c:v>
                </c:pt>
                <c:pt idx="1">
                  <c:v>1.0286756494727041</c:v>
                </c:pt>
                <c:pt idx="2">
                  <c:v>1.0845377248359878</c:v>
                </c:pt>
                <c:pt idx="3">
                  <c:v>1.1318321746128421</c:v>
                </c:pt>
                <c:pt idx="4">
                  <c:v>1.1743432516427359</c:v>
                </c:pt>
                <c:pt idx="5">
                  <c:v>1.23094614594106</c:v>
                </c:pt>
                <c:pt idx="6">
                  <c:v>1.2879570031501115</c:v>
                </c:pt>
                <c:pt idx="7">
                  <c:v>1.3269930319747463</c:v>
                </c:pt>
                <c:pt idx="8">
                  <c:v>1.3435000806120119</c:v>
                </c:pt>
              </c:numCache>
            </c:numRef>
          </c:val>
        </c:ser>
        <c:marker val="1"/>
        <c:axId val="364911616"/>
        <c:axId val="364991232"/>
      </c:lineChart>
      <c:catAx>
        <c:axId val="364911616"/>
        <c:scaling>
          <c:orientation val="minMax"/>
        </c:scaling>
        <c:axPos val="b"/>
        <c:numFmt formatCode="General" sourceLinked="1"/>
        <c:tickLblPos val="nextTo"/>
        <c:crossAx val="364991232"/>
        <c:crosses val="autoZero"/>
        <c:auto val="1"/>
        <c:lblAlgn val="ctr"/>
        <c:lblOffset val="100"/>
      </c:catAx>
      <c:valAx>
        <c:axId val="364991232"/>
        <c:scaling>
          <c:orientation val="minMax"/>
          <c:min val="0.8"/>
        </c:scaling>
        <c:axPos val="l"/>
        <c:numFmt formatCode="0.00" sourceLinked="1"/>
        <c:tickLblPos val="nextTo"/>
        <c:crossAx val="364911616"/>
        <c:crosses val="autoZero"/>
        <c:crossBetween val="between"/>
      </c:valAx>
    </c:plotArea>
    <c:legend>
      <c:legendPos val="b"/>
      <c:layout>
        <c:manualLayout>
          <c:xMode val="edge"/>
          <c:yMode val="edge"/>
          <c:x val="0.17933880139982522"/>
          <c:y val="0.86565830562507429"/>
          <c:w val="0.65243350831146107"/>
          <c:h val="7.5541687513137001E-2"/>
        </c:manualLayout>
      </c:layout>
      <c:txPr>
        <a:bodyPr/>
        <a:lstStyle/>
        <a:p>
          <a:pPr>
            <a:defRPr sz="1200"/>
          </a:pPr>
          <a:endParaRPr lang="ru-RU"/>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0.06347</cdr:x>
      <cdr:y>0.13764</cdr:y>
    </cdr:from>
    <cdr:to>
      <cdr:x>0.34187</cdr:x>
      <cdr:y>0.38202</cdr:y>
    </cdr:to>
    <cdr:sp macro="" textlink="">
      <cdr:nvSpPr>
        <cdr:cNvPr id="3" name="Straight Connector 2"/>
        <cdr:cNvSpPr/>
      </cdr:nvSpPr>
      <cdr:spPr>
        <a:xfrm xmlns:a="http://schemas.openxmlformats.org/drawingml/2006/main">
          <a:off x="694944" y="597408"/>
          <a:ext cx="3048000" cy="1060704"/>
        </a:xfrm>
        <a:prstGeom xmlns:a="http://schemas.openxmlformats.org/drawingml/2006/main" prst="line">
          <a:avLst/>
        </a:prstGeom>
        <a:ln xmlns:a="http://schemas.openxmlformats.org/drawingml/2006/main">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0.36971</cdr:x>
      <cdr:y>0.28933</cdr:y>
    </cdr:from>
    <cdr:to>
      <cdr:x>0.549</cdr:x>
      <cdr:y>0.37079</cdr:y>
    </cdr:to>
    <cdr:sp macro="" textlink="">
      <cdr:nvSpPr>
        <cdr:cNvPr id="4" name="Straight Connector 3"/>
        <cdr:cNvSpPr/>
      </cdr:nvSpPr>
      <cdr:spPr>
        <a:xfrm xmlns:a="http://schemas.openxmlformats.org/drawingml/2006/main" flipV="1">
          <a:off x="4047744" y="1255776"/>
          <a:ext cx="1962912" cy="353568"/>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lg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0.58241</cdr:x>
      <cdr:y>0.29494</cdr:y>
    </cdr:from>
    <cdr:to>
      <cdr:x>0.68931</cdr:x>
      <cdr:y>0.41573</cdr:y>
    </cdr:to>
    <cdr:sp macro="" textlink="">
      <cdr:nvSpPr>
        <cdr:cNvPr id="5" name="Straight Connector 4"/>
        <cdr:cNvSpPr/>
      </cdr:nvSpPr>
      <cdr:spPr>
        <a:xfrm xmlns:a="http://schemas.openxmlformats.org/drawingml/2006/main">
          <a:off x="6376416" y="1280160"/>
          <a:ext cx="1170432" cy="524256"/>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lg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cdr:x>
      <cdr:y>0</cdr:y>
    </cdr:from>
    <cdr:to>
      <cdr:x>0</cdr:x>
      <cdr:y>0</cdr:y>
    </cdr:to>
    <cdr:sp macro="" textlink="">
      <cdr:nvSpPr>
        <cdr:cNvPr id="6" name="Straight Connector 5"/>
        <cdr:cNvSpPr/>
      </cdr:nvSpPr>
      <cdr:spPr>
        <a:xfrm xmlns:a="http://schemas.openxmlformats.org/drawingml/2006/main">
          <a:off x="-536448" y="-1463040"/>
          <a:ext cx="0" cy="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lg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0.71826</cdr:x>
      <cdr:y>0.40449</cdr:y>
    </cdr:from>
    <cdr:to>
      <cdr:x>0.9265</cdr:x>
      <cdr:y>0.4073</cdr:y>
    </cdr:to>
    <cdr:sp macro="" textlink="">
      <cdr:nvSpPr>
        <cdr:cNvPr id="7" name="Straight Connector 6"/>
        <cdr:cNvSpPr/>
      </cdr:nvSpPr>
      <cdr:spPr>
        <a:xfrm xmlns:a="http://schemas.openxmlformats.org/drawingml/2006/main">
          <a:off x="7863840" y="1755648"/>
          <a:ext cx="2279904" cy="12192"/>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lg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DCD10-8700-4430-BD1D-CD0B0A5B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3197</Words>
  <Characters>23755</Characters>
  <Application>Microsoft Office Word</Application>
  <DocSecurity>0</DocSecurity>
  <Lines>439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Широв</dc:creator>
  <cp:lastModifiedBy>Широв</cp:lastModifiedBy>
  <cp:revision>2</cp:revision>
  <cp:lastPrinted>2017-11-20T15:00:00Z</cp:lastPrinted>
  <dcterms:created xsi:type="dcterms:W3CDTF">2017-11-20T18:25:00Z</dcterms:created>
  <dcterms:modified xsi:type="dcterms:W3CDTF">2017-11-20T18:25:00Z</dcterms:modified>
</cp:coreProperties>
</file>