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F6" w:rsidRDefault="009906F6" w:rsidP="007A75DE">
      <w:pPr>
        <w:pStyle w:val="FA-Break"/>
      </w:pPr>
    </w:p>
    <w:p w:rsidR="009906F6" w:rsidRDefault="009906F6" w:rsidP="007A75DE">
      <w:pPr>
        <w:pStyle w:val="FA-Break"/>
      </w:pPr>
    </w:p>
    <w:p w:rsidR="009906F6" w:rsidRPr="009906F6" w:rsidRDefault="009906F6" w:rsidP="007A75DE">
      <w:pPr>
        <w:pStyle w:val="FA-Break"/>
      </w:pPr>
    </w:p>
    <w:p w:rsidR="007A75DE" w:rsidRPr="009906F6" w:rsidRDefault="009069C3" w:rsidP="00EB5E67">
      <w:pPr>
        <w:pStyle w:val="FA-ConfTitle"/>
      </w:pPr>
      <w:permStart w:id="0" w:edGrp="everyone"/>
      <w:r>
        <w:t>ICPE 2017</w:t>
      </w:r>
      <w:permEnd w:id="0"/>
    </w:p>
    <w:p w:rsidR="0088252C" w:rsidRPr="009906F6" w:rsidRDefault="009069C3" w:rsidP="000727C7">
      <w:pPr>
        <w:pStyle w:val="FA-ConfTitle"/>
      </w:pPr>
      <w:permStart w:id="1" w:edGrp="everyone"/>
      <w:r w:rsidRPr="009069C3">
        <w:t>International Conference on Psychology and Education</w:t>
      </w:r>
      <w:permEnd w:id="1"/>
    </w:p>
    <w:p w:rsidR="0088252C" w:rsidRPr="009906F6" w:rsidRDefault="0088252C" w:rsidP="007A75DE">
      <w:pPr>
        <w:pStyle w:val="FA-Break"/>
      </w:pPr>
    </w:p>
    <w:p w:rsidR="0088252C" w:rsidRPr="009906F6" w:rsidRDefault="00F12131" w:rsidP="000727C7">
      <w:pPr>
        <w:pStyle w:val="FA-PaperTitle"/>
      </w:pPr>
      <w:permStart w:id="2" w:edGrp="everyone"/>
      <w:r>
        <w:t xml:space="preserve">DO COGNITIVE STYLES AFFECT </w:t>
      </w:r>
      <w:r w:rsidR="00005A1C">
        <w:t>PSYCHOPHYSICAL TASKS PERFORMANCE?</w:t>
      </w:r>
      <w:permEnd w:id="2"/>
    </w:p>
    <w:p w:rsidR="0088252C" w:rsidRPr="009906F6" w:rsidRDefault="0088252C" w:rsidP="007A75DE">
      <w:pPr>
        <w:pStyle w:val="FA-Break"/>
      </w:pPr>
    </w:p>
    <w:p w:rsidR="00203BA5" w:rsidRPr="009906F6" w:rsidRDefault="00203BA5" w:rsidP="007A75DE">
      <w:pPr>
        <w:pStyle w:val="FA-Break"/>
      </w:pPr>
    </w:p>
    <w:p w:rsidR="00203BA5" w:rsidRPr="009906F6" w:rsidRDefault="006F799F" w:rsidP="000727C7">
      <w:pPr>
        <w:pStyle w:val="FA-Authors"/>
      </w:pPr>
      <w:permStart w:id="3" w:edGrp="everyone"/>
      <w:r>
        <w:t>Nataliia N. Volkova (a)*, Alexey N. Gusev (b)</w:t>
      </w:r>
      <w:permEnd w:id="3"/>
    </w:p>
    <w:p w:rsidR="00203BA5" w:rsidRPr="009906F6" w:rsidRDefault="007504B3" w:rsidP="0088252C">
      <w:pPr>
        <w:spacing w:after="0" w:line="276" w:lineRule="auto"/>
        <w:jc w:val="center"/>
        <w:rPr>
          <w:rFonts w:ascii="Times New Roman" w:hAnsi="Times New Roman" w:cs="Times New Roman"/>
        </w:rPr>
      </w:pPr>
      <w:r>
        <w:rPr>
          <w:rFonts w:ascii="Times New Roman" w:hAnsi="Times New Roman" w:cs="Times New Roman"/>
        </w:rPr>
        <w:t>*Corresponding author</w:t>
      </w:r>
    </w:p>
    <w:p w:rsidR="00203BA5" w:rsidRPr="009906F6" w:rsidRDefault="00203BA5" w:rsidP="007A75DE">
      <w:pPr>
        <w:pStyle w:val="FA-Break"/>
      </w:pPr>
    </w:p>
    <w:p w:rsidR="00722701" w:rsidRPr="007504B3" w:rsidRDefault="007504B3" w:rsidP="008E54BE">
      <w:pPr>
        <w:pStyle w:val="FA-Affiliations"/>
      </w:pPr>
      <w:r w:rsidRPr="007504B3">
        <w:t xml:space="preserve">(a) </w:t>
      </w:r>
      <w:permStart w:id="4" w:edGrp="everyone"/>
      <w:r w:rsidR="00F12131">
        <w:t>Lomonosov Moscow State University, Psychology Faculty, n.volkova.psy@gmail.com</w:t>
      </w:r>
    </w:p>
    <w:p w:rsidR="00203BA5" w:rsidRPr="009906F6" w:rsidRDefault="00722701" w:rsidP="007504B3">
      <w:pPr>
        <w:pStyle w:val="FA-Affiliations"/>
      </w:pPr>
      <w:r>
        <w:t xml:space="preserve">(b) </w:t>
      </w:r>
      <w:r w:rsidR="00F12131">
        <w:t>Lomonosov Moscow State University, Psychology Faculty, angusev@mail.ru</w:t>
      </w:r>
      <w:permEnd w:id="4"/>
    </w:p>
    <w:p w:rsidR="00203BA5" w:rsidRPr="009906F6" w:rsidRDefault="00203BA5" w:rsidP="007A75DE">
      <w:pPr>
        <w:pStyle w:val="FA-Break"/>
      </w:pPr>
    </w:p>
    <w:p w:rsidR="00203BA5" w:rsidRPr="009906F6" w:rsidRDefault="00203BA5" w:rsidP="007A75DE">
      <w:pPr>
        <w:pStyle w:val="FA-Break"/>
      </w:pPr>
    </w:p>
    <w:p w:rsidR="00203BA5" w:rsidRPr="009906F6" w:rsidRDefault="00203BA5" w:rsidP="00203BA5">
      <w:pPr>
        <w:pStyle w:val="FA-AbstractStyle"/>
      </w:pPr>
      <w:r w:rsidRPr="009906F6">
        <w:t>Abstract</w:t>
      </w:r>
    </w:p>
    <w:p w:rsidR="00203BA5" w:rsidRPr="009906F6" w:rsidRDefault="00203BA5" w:rsidP="007A75DE">
      <w:pPr>
        <w:pStyle w:val="FA-Break"/>
      </w:pPr>
    </w:p>
    <w:p w:rsidR="00203BA5" w:rsidRPr="008E54BE" w:rsidRDefault="00F12131" w:rsidP="007A75DE">
      <w:pPr>
        <w:pStyle w:val="FA-Paragraphtext"/>
      </w:pPr>
      <w:permStart w:id="5" w:edGrp="everyone"/>
      <w:r>
        <w:t xml:space="preserve">Background. </w:t>
      </w:r>
      <w:r w:rsidR="00F81BDA">
        <w:t xml:space="preserve">In order to </w:t>
      </w:r>
      <w:r w:rsidR="00F81BDA">
        <w:rPr>
          <w:lang w:val="en-US"/>
        </w:rPr>
        <w:t xml:space="preserve">deepen </w:t>
      </w:r>
      <w:r w:rsidR="00F81BDA">
        <w:t>understanding of signal detection/discrimination processes we have to focus on highlighting individual differences in observers’ sensory performance due to the contribution of various variables of personality and cognition spheres</w:t>
      </w:r>
      <w:r w:rsidR="00224EDB">
        <w:t xml:space="preserve">. </w:t>
      </w:r>
      <w:r w:rsidR="00F81BDA" w:rsidRPr="00E6556D">
        <w:t xml:space="preserve">The purpose of our study was to test </w:t>
      </w:r>
      <w:r w:rsidR="00926529">
        <w:t>cognitive style</w:t>
      </w:r>
      <w:r w:rsidR="00F81BDA" w:rsidRPr="00E6556D">
        <w:t xml:space="preserve"> factors </w:t>
      </w:r>
      <w:r w:rsidR="00F81BDA">
        <w:t xml:space="preserve">(augmenting-reducing, levelling-sharpening, flexibility-rigidity of cognitive control, equivalence range, and </w:t>
      </w:r>
      <w:r w:rsidR="00F81BDA" w:rsidRPr="00A2510C">
        <w:t>focusing-scanning) influencing performance</w:t>
      </w:r>
      <w:r w:rsidR="00926529" w:rsidRPr="00A2510C">
        <w:t xml:space="preserve"> of psychophysical tasks.</w:t>
      </w:r>
      <w:r>
        <w:t xml:space="preserve">Methods. </w:t>
      </w:r>
      <w:r w:rsidR="00066C6C" w:rsidRPr="00A2510C">
        <w:t xml:space="preserve">Ninety participants performed a set of cognitive style tests as well as two psychophysical tasks on visual signal detection </w:t>
      </w:r>
      <w:r w:rsidR="00D842D8" w:rsidRPr="00D842D8">
        <w:rPr>
          <w:lang w:val="en-US"/>
        </w:rPr>
        <w:t>(</w:t>
      </w:r>
      <w:r w:rsidR="00D842D8">
        <w:rPr>
          <w:lang w:val="en-US"/>
        </w:rPr>
        <w:t>‘yes-no’</w:t>
      </w:r>
      <w:r w:rsidR="00D842D8" w:rsidRPr="00D842D8">
        <w:rPr>
          <w:lang w:val="en-US"/>
        </w:rPr>
        <w:t xml:space="preserve">) </w:t>
      </w:r>
      <w:r w:rsidR="00066C6C" w:rsidRPr="00A2510C">
        <w:t>and loudness discrimination</w:t>
      </w:r>
      <w:r w:rsidR="00D842D8">
        <w:t xml:space="preserve"> (‘same-different’)</w:t>
      </w:r>
      <w:r w:rsidR="00066C6C" w:rsidRPr="00A2510C">
        <w:t xml:space="preserve">. </w:t>
      </w:r>
      <w:r w:rsidR="00066C6C" w:rsidRPr="00A2510C">
        <w:rPr>
          <w:lang w:val="en-US"/>
        </w:rPr>
        <w:t>The duration of visual pattern presentation and difference between pairs of auditory stimuli were used to provide task’s difficulty level, and therefore the level of uncertainty.</w:t>
      </w:r>
      <w:r>
        <w:rPr>
          <w:lang w:val="en-US"/>
        </w:rPr>
        <w:t xml:space="preserve">Results. </w:t>
      </w:r>
      <w:r w:rsidR="00A2510C">
        <w:t>Data analysis showed several effects of cognitive styles on psychophysical tasks performance indices</w:t>
      </w:r>
      <w:r w:rsidR="00B6303D">
        <w:t xml:space="preserve">, in particular: sensory sensitivity, </w:t>
      </w:r>
      <w:r>
        <w:t>RT</w:t>
      </w:r>
      <w:r>
        <w:rPr>
          <w:lang w:val="en-US"/>
        </w:rPr>
        <w:t>and its stability</w:t>
      </w:r>
      <w:r w:rsidR="00B6303D">
        <w:t xml:space="preserve">, </w:t>
      </w:r>
      <w:r>
        <w:t>and response confidence</w:t>
      </w:r>
      <w:r w:rsidR="00A2510C">
        <w:t xml:space="preserve">. According to our results, each style is related to its own benefits and advantages in </w:t>
      </w:r>
      <w:r w:rsidR="00261323">
        <w:t>observer’s overall productivity</w:t>
      </w:r>
      <w:r w:rsidR="00A2510C">
        <w:t xml:space="preserve">. </w:t>
      </w:r>
      <w:r w:rsidR="00261323">
        <w:t>Furthermore, t</w:t>
      </w:r>
      <w:r w:rsidR="00A2510C">
        <w:t>he contribution of cognitive styles differed depending on task’</w:t>
      </w:r>
      <w:r w:rsidR="00261323">
        <w:t xml:space="preserve">s type and difficulty level. </w:t>
      </w:r>
      <w:r>
        <w:t xml:space="preserve">Conclusions. </w:t>
      </w:r>
      <w:r w:rsidR="00261323">
        <w:t xml:space="preserve">Our </w:t>
      </w:r>
      <w:r w:rsidR="00B6303D">
        <w:t xml:space="preserve">results support current </w:t>
      </w:r>
      <w:r w:rsidR="00261323">
        <w:t>findings</w:t>
      </w:r>
      <w:r w:rsidR="00B6303D">
        <w:t xml:space="preserve">, </w:t>
      </w:r>
      <w:r w:rsidR="00261323">
        <w:t>considering cognitive styles as playing a regulative role</w:t>
      </w:r>
      <w:r w:rsidR="00261323">
        <w:rPr>
          <w:lang w:val="en-US"/>
        </w:rPr>
        <w:t>in cognitive activity</w:t>
      </w:r>
      <w:r w:rsidR="00B6303D">
        <w:rPr>
          <w:lang w:val="en-US"/>
        </w:rPr>
        <w:t xml:space="preserve">. Hence, they could be acknowledged as </w:t>
      </w:r>
      <w:r w:rsidR="00261323">
        <w:t>tools, mediating individual strategies</w:t>
      </w:r>
      <w:r w:rsidR="00B6303D">
        <w:t>,</w:t>
      </w:r>
      <w:r w:rsidR="00261323">
        <w:t xml:space="preserve"> representing different ways of coping with perceptual uncertainty. </w:t>
      </w:r>
      <w:permEnd w:id="5"/>
    </w:p>
    <w:p w:rsidR="0079634B" w:rsidRDefault="0079634B" w:rsidP="007A75DE">
      <w:pPr>
        <w:pStyle w:val="FA-Break"/>
      </w:pPr>
    </w:p>
    <w:p w:rsidR="0079634B" w:rsidRPr="0079634B" w:rsidRDefault="004F1F16" w:rsidP="0079634B">
      <w:pPr>
        <w:spacing w:after="0" w:line="312" w:lineRule="auto"/>
        <w:rPr>
          <w:rFonts w:ascii="Times New Roman" w:hAnsi="Times New Roman" w:cs="Times New Roman"/>
          <w:sz w:val="16"/>
          <w:szCs w:val="16"/>
        </w:rPr>
      </w:pPr>
      <w:r>
        <w:rPr>
          <w:rFonts w:ascii="Times New Roman" w:hAnsi="Times New Roman" w:cs="Times New Roman"/>
          <w:sz w:val="16"/>
          <w:szCs w:val="16"/>
        </w:rPr>
        <w:t>© 2017</w:t>
      </w:r>
      <w:r w:rsidR="0079634B" w:rsidRPr="0079634B">
        <w:rPr>
          <w:rFonts w:ascii="Times New Roman" w:hAnsi="Times New Roman" w:cs="Times New Roman"/>
          <w:sz w:val="16"/>
          <w:szCs w:val="16"/>
        </w:rPr>
        <w:t xml:space="preserve"> Published by Future Academy </w:t>
      </w:r>
      <w:r w:rsidR="0079634B" w:rsidRPr="008E54BE">
        <w:rPr>
          <w:rFonts w:ascii="Times New Roman" w:hAnsi="Times New Roman" w:cs="Times New Roman"/>
          <w:sz w:val="16"/>
          <w:szCs w:val="16"/>
        </w:rPr>
        <w:t>www.FutureAcademy.org.</w:t>
      </w:r>
      <w:r w:rsidRPr="008E54BE">
        <w:rPr>
          <w:rFonts w:ascii="Times New Roman" w:hAnsi="Times New Roman" w:cs="Times New Roman"/>
          <w:sz w:val="16"/>
          <w:szCs w:val="16"/>
        </w:rPr>
        <w:t>UK</w:t>
      </w:r>
    </w:p>
    <w:p w:rsidR="0079634B" w:rsidRPr="00D0042C" w:rsidRDefault="0079634B" w:rsidP="007A75DE">
      <w:pPr>
        <w:pStyle w:val="FA-Break"/>
      </w:pPr>
    </w:p>
    <w:p w:rsidR="0079634B" w:rsidRPr="008E54BE" w:rsidRDefault="00AC41E9" w:rsidP="007A75DE">
      <w:pPr>
        <w:pStyle w:val="FA-RefHeader"/>
        <w:rPr>
          <w:sz w:val="16"/>
          <w:szCs w:val="16"/>
        </w:rPr>
      </w:pPr>
      <w:r w:rsidRPr="008E54BE">
        <w:rPr>
          <w:sz w:val="16"/>
          <w:szCs w:val="16"/>
        </w:rPr>
        <w:t>Keywords</w:t>
      </w:r>
      <w:r w:rsidR="003312F5" w:rsidRPr="008E54BE">
        <w:rPr>
          <w:sz w:val="16"/>
          <w:szCs w:val="16"/>
        </w:rPr>
        <w:t xml:space="preserve">: </w:t>
      </w:r>
      <w:permStart w:id="6" w:edGrp="everyone"/>
      <w:r w:rsidR="00F96B80">
        <w:rPr>
          <w:b w:val="0"/>
          <w:sz w:val="16"/>
          <w:szCs w:val="16"/>
        </w:rPr>
        <w:t>Cognitive styles, psychophysics,individual differences, s</w:t>
      </w:r>
      <w:r w:rsidR="004D5850">
        <w:rPr>
          <w:b w:val="0"/>
          <w:sz w:val="16"/>
          <w:szCs w:val="16"/>
        </w:rPr>
        <w:t>ignal detection, signal discrimination</w:t>
      </w:r>
      <w:permEnd w:id="6"/>
    </w:p>
    <w:p w:rsidR="00B03CEA" w:rsidRPr="009906F6" w:rsidRDefault="00B03CEA">
      <w:pPr>
        <w:rPr>
          <w:rFonts w:ascii="Times New Roman" w:hAnsi="Times New Roman" w:cs="Times New Roman"/>
        </w:rPr>
      </w:pPr>
      <w:r w:rsidRPr="009906F6">
        <w:rPr>
          <w:rFonts w:ascii="Times New Roman" w:hAnsi="Times New Roman" w:cs="Times New Roman"/>
        </w:rPr>
        <w:br w:type="page"/>
      </w:r>
    </w:p>
    <w:p w:rsidR="003717EC" w:rsidRPr="00772C3A" w:rsidRDefault="0049406E" w:rsidP="007A75DE">
      <w:pPr>
        <w:pStyle w:val="FA-MainHeader"/>
      </w:pPr>
      <w:r w:rsidRPr="00772C3A">
        <w:lastRenderedPageBreak/>
        <w:t>Introduction</w:t>
      </w:r>
    </w:p>
    <w:p w:rsidR="00BA1EE3" w:rsidRDefault="00BA1EE3" w:rsidP="00DA1142">
      <w:pPr>
        <w:pStyle w:val="FA-Paragraphtext"/>
      </w:pPr>
      <w:permStart w:id="7" w:edGrp="everyone"/>
      <w:r>
        <w:t>Multiple studies showed the effect of subject or personality factors on observer’s sensory performance, which nonetheless were rarely taken into consideration. However, it was later acknowledged that contribution of stimulation conditions, or ‘stimulus factors’, provides only partial explanation of perceiver’s behaviour, emphasizing the necessity to consider subject</w:t>
      </w:r>
      <w:r w:rsidR="00990404">
        <w:t xml:space="preserve"> factors as well (</w:t>
      </w:r>
      <w:r w:rsidR="00660C79">
        <w:t>Gurler et al., 2015</w:t>
      </w:r>
      <w:r>
        <w:t>; Siegel, Kelly, 2017; Wilson et al., 2016).</w:t>
      </w:r>
    </w:p>
    <w:p w:rsidR="00BA1EE3" w:rsidRDefault="00BA1EE3" w:rsidP="00DA1142">
      <w:pPr>
        <w:pStyle w:val="FA-Paragraphtext"/>
      </w:pPr>
      <w:r>
        <w:t xml:space="preserve">We believe that </w:t>
      </w:r>
      <w:r w:rsidR="00DA1142">
        <w:t>threshold</w:t>
      </w:r>
      <w:r>
        <w:t xml:space="preserve"> task performance is associated with a conflict between the need to solve the task successfully and observer’s available resources. It has been widely studied in line with resource approach, suggesting that cognitive processes represent the system with limited amount of available cognitive resources. Resources, for their part, are considered as a pool of energy, flexibly distributed during information processing (Epling et al., 2016; Humphreys, Revelle, 1984; Parasuraman</w:t>
      </w:r>
      <w:r w:rsidR="00660C79">
        <w:t>et al., 1987; Ralph et al., 2017</w:t>
      </w:r>
      <w:r>
        <w:t>; Smit et al., 2004; Thomson et al., 2015). Demands and conditions of psychophysical tasks serve as a basis for engaging the methodology of resource approach since they impose several restrictions to observer’s available resources.</w:t>
      </w:r>
    </w:p>
    <w:p w:rsidR="00BA1EE3" w:rsidRDefault="00BA1EE3" w:rsidP="00DA1142">
      <w:pPr>
        <w:pStyle w:val="FA-Paragraphtext"/>
      </w:pPr>
      <w:r>
        <w:t xml:space="preserve">The stated conflict may be solved in different ways, reflected in the choice of various tools and strategies, regulated, in its turn, by high-level mechanisms of observer’s mental activity. We suggest cognitive styles (CS) as one of such regulative mechanisms. </w:t>
      </w:r>
    </w:p>
    <w:p w:rsidR="00AF1B7B" w:rsidRPr="00772C3A" w:rsidRDefault="00BA1EE3" w:rsidP="00AF1B7B">
      <w:pPr>
        <w:pStyle w:val="FA-Paragraphtext"/>
      </w:pPr>
      <w:r>
        <w:t>The concept of CS was initially introduced as a result of considering a qualitatively different aspect of human cognitive sphere, referred to individual differences in a way or manner of cognitive functioning, i.e. organizing, representing and processing information (Kozhevnikov et al., 2014; Zhang et al., 2012). In accordance with this approach, same results of solving various types of tasks can be achieved in different ways, such as ways of perceiving and understanding the task, as well as various chara</w:t>
      </w:r>
      <w:r w:rsidR="00890CE4">
        <w:t>cteristics of tempo, efficiency</w:t>
      </w:r>
      <w:r>
        <w:t xml:space="preserve"> and mistakes made (Nosal, 2009). Hence, this is an important factor to examine since CS could provide an explanation of individual variabilities i</w:t>
      </w:r>
      <w:r w:rsidR="005B2B66">
        <w:t xml:space="preserve">n </w:t>
      </w:r>
      <w:r w:rsidR="00890CE4">
        <w:t>threshold</w:t>
      </w:r>
      <w:r w:rsidR="005B2B66">
        <w:t xml:space="preserve"> tasks performance.</w:t>
      </w:r>
      <w:permEnd w:id="7"/>
    </w:p>
    <w:p w:rsidR="00CE687A" w:rsidRPr="00772C3A" w:rsidRDefault="00CE687A" w:rsidP="007A75DE">
      <w:pPr>
        <w:pStyle w:val="FA-Break"/>
      </w:pPr>
    </w:p>
    <w:p w:rsidR="00CE687A" w:rsidRPr="00772C3A" w:rsidRDefault="00E768AA" w:rsidP="007A75DE">
      <w:pPr>
        <w:pStyle w:val="FA-MainHeader"/>
      </w:pPr>
      <w:r w:rsidRPr="00772C3A">
        <w:t>Problem Statement</w:t>
      </w:r>
    </w:p>
    <w:p w:rsidR="00BA1EE3" w:rsidRDefault="00BA1EE3" w:rsidP="00BA1EE3">
      <w:pPr>
        <w:pStyle w:val="FA-Paragraphtext"/>
      </w:pPr>
      <w:permStart w:id="8" w:edGrp="everyone"/>
      <w:r>
        <w:t>There is a large body of research that has been conduc</w:t>
      </w:r>
      <w:r w:rsidR="00890CE4">
        <w:t>ted into the role of stimulusfactors</w:t>
      </w:r>
      <w:r>
        <w:t xml:space="preserve"> in observer’s performance indices and strategies used, whereas the contribution </w:t>
      </w:r>
      <w:r w:rsidR="00890CE4">
        <w:t xml:space="preserve">and weight </w:t>
      </w:r>
      <w:r>
        <w:t xml:space="preserve">of individual differences factors is still underestimated in psychophysics. While the final performance can be partially explained by stimulus variables, the study of individual differences is an issue of critical importance. </w:t>
      </w:r>
    </w:p>
    <w:p w:rsidR="00BA1EE3" w:rsidRDefault="00BA1EE3" w:rsidP="00BA1EE3">
      <w:pPr>
        <w:pStyle w:val="FA-Paragraphtext"/>
      </w:pPr>
      <w:r>
        <w:t xml:space="preserve">We would like to highlight the crucial point that psychophysical tasks have to be considered as related to high workload and high perceptual uncertainty. As a result, such task specifities and demands force observer to look for any appropriate compensation </w:t>
      </w:r>
      <w:r w:rsidR="00890CE4">
        <w:t>strategies, which allow o</w:t>
      </w:r>
      <w:r w:rsidR="00C823CC">
        <w:t>vercoming</w:t>
      </w:r>
      <w:r>
        <w:t xml:space="preserve"> the distinct deficit of sensory information. </w:t>
      </w:r>
    </w:p>
    <w:p w:rsidR="005A3449" w:rsidRPr="00772C3A" w:rsidRDefault="00DC409E" w:rsidP="008E54BE">
      <w:pPr>
        <w:pStyle w:val="FA-Paragraphtext"/>
      </w:pPr>
      <w:r>
        <w:t xml:space="preserve">Thepresent </w:t>
      </w:r>
      <w:r w:rsidR="00BA1EE3">
        <w:t>tasks cause resource costs due to (1) random and rapid presentation of low-intensive stimulation, (2) monotonous and long-term procedure, (3) successive character of stimuli presentation, (4) spatial uncertainty in localisation of target stimulus. In addition to mentioned above, these vigilance tasks call for engagement of additional effort, reflected in short-term memory and attention allocation resources. Furthermore, observer has to maintain a high vigilance level and sustain high tempo over prolonged period of performing the task.</w:t>
      </w:r>
      <w:permEnd w:id="8"/>
    </w:p>
    <w:p w:rsidR="00CE687A" w:rsidRPr="00772C3A" w:rsidRDefault="00CE687A" w:rsidP="007A75DE">
      <w:pPr>
        <w:pStyle w:val="FA-Break"/>
      </w:pPr>
    </w:p>
    <w:p w:rsidR="00E768AA" w:rsidRPr="00772C3A" w:rsidRDefault="00E768AA" w:rsidP="007A75DE">
      <w:pPr>
        <w:pStyle w:val="FA-MainHeader"/>
      </w:pPr>
      <w:r w:rsidRPr="00772C3A">
        <w:t>Research Questions</w:t>
      </w:r>
    </w:p>
    <w:p w:rsidR="00E768AA" w:rsidRPr="00772C3A" w:rsidRDefault="00C42466" w:rsidP="008E54BE">
      <w:pPr>
        <w:pStyle w:val="FA-Paragraphtext"/>
      </w:pPr>
      <w:permStart w:id="9" w:edGrp="everyone"/>
      <w:r>
        <w:t>In this study w</w:t>
      </w:r>
      <w:r w:rsidR="00E6556D" w:rsidRPr="00E6556D">
        <w:t xml:space="preserve">e </w:t>
      </w:r>
      <w:r>
        <w:t>have endeavoured to address two main issues, referring to the wide psychological context of individual differences</w:t>
      </w:r>
      <w:r w:rsidR="009E66DA">
        <w:t xml:space="preserve"> role</w:t>
      </w:r>
      <w:r>
        <w:t xml:space="preserve"> in cognitive tasks</w:t>
      </w:r>
      <w:r w:rsidR="009E66DA">
        <w:t>solving</w:t>
      </w:r>
      <w:r w:rsidR="00612033">
        <w:t>.</w:t>
      </w:r>
      <w:r w:rsidR="00C33F2E">
        <w:rPr>
          <w:lang w:val="en-US"/>
        </w:rPr>
        <w:t xml:space="preserve">First, </w:t>
      </w:r>
      <w:r w:rsidR="00C33F2E">
        <w:t>w</w:t>
      </w:r>
      <w:r w:rsidR="00F74B55">
        <w:t xml:space="preserve">e were wondering whether differences in sensory performance exist between subjects representing </w:t>
      </w:r>
      <w:r w:rsidR="00F74B55">
        <w:rPr>
          <w:lang w:val="en-US"/>
        </w:rPr>
        <w:t>certain</w:t>
      </w:r>
      <w:r w:rsidR="00F74B55">
        <w:t xml:space="preserve"> CS</w:t>
      </w:r>
      <w:r>
        <w:t xml:space="preserve">, and hence, whether </w:t>
      </w:r>
      <w:r>
        <w:lastRenderedPageBreak/>
        <w:t>CS studies are fruitful avenue in differential psychophysics</w:t>
      </w:r>
      <w:r w:rsidR="00F74B55">
        <w:t>.</w:t>
      </w:r>
      <w:r w:rsidR="00A94EB6">
        <w:t xml:space="preserve">The second addressed issue was the following: does the contribution of CS factors change due to </w:t>
      </w:r>
      <w:r w:rsidR="00A94EB6">
        <w:rPr>
          <w:lang w:val="en-US"/>
        </w:rPr>
        <w:t>variation of task type and level of perceptual uncertainty?</w:t>
      </w:r>
      <w:permEnd w:id="9"/>
    </w:p>
    <w:p w:rsidR="00E768AA" w:rsidRPr="00772C3A" w:rsidRDefault="00E768AA" w:rsidP="007A75DE">
      <w:pPr>
        <w:pStyle w:val="FA-Break"/>
      </w:pPr>
    </w:p>
    <w:p w:rsidR="00E768AA" w:rsidRPr="00772C3A" w:rsidRDefault="00E768AA" w:rsidP="007A75DE">
      <w:pPr>
        <w:pStyle w:val="FA-MainHeader"/>
      </w:pPr>
      <w:r w:rsidRPr="00772C3A">
        <w:t>Purpose of the Study</w:t>
      </w:r>
    </w:p>
    <w:p w:rsidR="007A75DE" w:rsidRPr="00772C3A" w:rsidRDefault="00E6556D" w:rsidP="007A75DE">
      <w:pPr>
        <w:pStyle w:val="FA-Paragraphtext"/>
      </w:pPr>
      <w:permStart w:id="10" w:edGrp="everyone"/>
      <w:r w:rsidRPr="00E6556D">
        <w:t xml:space="preserve">The purpose of our study was to test </w:t>
      </w:r>
      <w:r w:rsidR="00F74B55" w:rsidRPr="00E6556D">
        <w:t xml:space="preserve">CS factors </w:t>
      </w:r>
      <w:r w:rsidR="00C709E5">
        <w:t xml:space="preserve">(augmenting-reducing, levelling-sharpening, flexibility-rigidity of cognitive control, equivalence range, and focusing-scanning) </w:t>
      </w:r>
      <w:r w:rsidR="00F74B55" w:rsidRPr="00E6556D">
        <w:t xml:space="preserve">influencing sensory performance indicesunder different </w:t>
      </w:r>
      <w:r w:rsidR="00085FB2">
        <w:t xml:space="preserve">task type </w:t>
      </w:r>
      <w:r w:rsidR="00C709E5">
        <w:t xml:space="preserve">(visual signal detection </w:t>
      </w:r>
      <w:r w:rsidR="00F26D62">
        <w:rPr>
          <w:lang w:val="en-US"/>
        </w:rPr>
        <w:t xml:space="preserve">– </w:t>
      </w:r>
      <w:r w:rsidR="00F26D62" w:rsidRPr="00F26D62">
        <w:rPr>
          <w:i/>
          <w:lang w:val="en-US"/>
        </w:rPr>
        <w:t>YN</w:t>
      </w:r>
      <w:r w:rsidR="00F26D62">
        <w:rPr>
          <w:lang w:val="en-US"/>
        </w:rPr>
        <w:t xml:space="preserve">, </w:t>
      </w:r>
      <w:r w:rsidR="00C709E5">
        <w:t>and auditory signal discrimination</w:t>
      </w:r>
      <w:r w:rsidR="00F26D62">
        <w:t xml:space="preserve"> – </w:t>
      </w:r>
      <w:r w:rsidR="00F26D62" w:rsidRPr="00F26D62">
        <w:rPr>
          <w:i/>
        </w:rPr>
        <w:t>SD</w:t>
      </w:r>
      <w:r w:rsidR="00F26D62">
        <w:t xml:space="preserve"> tasks</w:t>
      </w:r>
      <w:r w:rsidR="00C709E5">
        <w:t xml:space="preserve">) </w:t>
      </w:r>
      <w:r w:rsidR="00023F0C">
        <w:t xml:space="preserve">and levels of </w:t>
      </w:r>
      <w:r w:rsidR="007A54A1">
        <w:t xml:space="preserve">perceptual </w:t>
      </w:r>
      <w:r w:rsidR="00F74B55" w:rsidRPr="00E6556D">
        <w:t>uncertainty</w:t>
      </w:r>
      <w:r w:rsidR="00BD0C20">
        <w:t>.</w:t>
      </w:r>
      <w:permEnd w:id="10"/>
    </w:p>
    <w:p w:rsidR="00E768AA" w:rsidRPr="00772C3A" w:rsidRDefault="00E768AA" w:rsidP="007A75DE">
      <w:pPr>
        <w:pStyle w:val="FA-Break"/>
      </w:pPr>
    </w:p>
    <w:p w:rsidR="00E768AA" w:rsidRPr="00772C3A" w:rsidRDefault="00E768AA" w:rsidP="007A75DE">
      <w:pPr>
        <w:pStyle w:val="FA-MainHeader"/>
      </w:pPr>
      <w:r w:rsidRPr="00772C3A">
        <w:t>Research Methods</w:t>
      </w:r>
    </w:p>
    <w:p w:rsidR="007A75DE" w:rsidRPr="00772C3A" w:rsidRDefault="005B2003" w:rsidP="005B3BEF">
      <w:pPr>
        <w:pStyle w:val="FA-SubHeader"/>
      </w:pPr>
      <w:permStart w:id="11" w:edGrp="everyone"/>
      <w:r>
        <w:t>Participants</w:t>
      </w:r>
    </w:p>
    <w:p w:rsidR="007A75DE" w:rsidRPr="00772C3A" w:rsidRDefault="005B2003" w:rsidP="007A75DE">
      <w:pPr>
        <w:pStyle w:val="FA-Paragraphtext"/>
      </w:pPr>
      <w:r w:rsidRPr="005B2003">
        <w:t>A total of 90 participants (28 males and 62 females) with normal or corrected-to-normal vision took part in this experiment.</w:t>
      </w:r>
    </w:p>
    <w:p w:rsidR="00E6556D" w:rsidRPr="00772C3A" w:rsidRDefault="00576360" w:rsidP="00E6556D">
      <w:pPr>
        <w:pStyle w:val="FA-SubHeader"/>
      </w:pPr>
      <w:r>
        <w:t>Software &amp;</w:t>
      </w:r>
      <w:r w:rsidR="005B2003">
        <w:t>Apparatus</w:t>
      </w:r>
    </w:p>
    <w:p w:rsidR="00E6556D" w:rsidRPr="001308A1" w:rsidRDefault="001308A1" w:rsidP="00E6556D">
      <w:pPr>
        <w:pStyle w:val="FA-Paragraphtext"/>
        <w:rPr>
          <w:lang w:val="en-US"/>
        </w:rPr>
      </w:pPr>
      <w:r>
        <w:t>The experiment was run on IBM</w:t>
      </w:r>
      <w:r w:rsidRPr="001308A1">
        <w:rPr>
          <w:lang w:val="en-US"/>
        </w:rPr>
        <w:t>-</w:t>
      </w:r>
      <w:r>
        <w:rPr>
          <w:lang w:val="en-US"/>
        </w:rPr>
        <w:t xml:space="preserve">compatible PC with a </w:t>
      </w:r>
      <w:r w:rsidR="00F648B7">
        <w:rPr>
          <w:lang w:val="en-US"/>
        </w:rPr>
        <w:t xml:space="preserve">clean </w:t>
      </w:r>
      <w:r>
        <w:rPr>
          <w:lang w:val="en-US"/>
        </w:rPr>
        <w:t>Windows XP Professional 32 bit operating system</w:t>
      </w:r>
      <w:r w:rsidR="00F13966">
        <w:rPr>
          <w:lang w:val="en-US"/>
        </w:rPr>
        <w:t>, in which all background processes were turned off</w:t>
      </w:r>
      <w:r>
        <w:rPr>
          <w:lang w:val="en-US"/>
        </w:rPr>
        <w:t>. T</w:t>
      </w:r>
      <w:r w:rsidR="008E4E3C">
        <w:rPr>
          <w:lang w:val="en-US"/>
        </w:rPr>
        <w:t>he stimuli were presented on a 22</w:t>
      </w:r>
      <w:r w:rsidR="00BA1DD9">
        <w:t>”</w:t>
      </w:r>
      <w:r w:rsidR="007E1816">
        <w:rPr>
          <w:lang w:val="en-US"/>
        </w:rPr>
        <w:t xml:space="preserve">LCD </w:t>
      </w:r>
      <w:r>
        <w:rPr>
          <w:lang w:val="en-US"/>
        </w:rPr>
        <w:t xml:space="preserve">monitor, with a resolution of </w:t>
      </w:r>
      <w:r w:rsidR="007E1816">
        <w:rPr>
          <w:lang w:val="en-US"/>
        </w:rPr>
        <w:t>1920 × 1080</w:t>
      </w:r>
      <w:r>
        <w:rPr>
          <w:lang w:val="en-US"/>
        </w:rPr>
        <w:t>.</w:t>
      </w:r>
      <w:r w:rsidR="005863B9">
        <w:rPr>
          <w:lang w:val="en-US"/>
        </w:rPr>
        <w:t xml:space="preserve"> Participants viewed </w:t>
      </w:r>
      <w:r w:rsidR="00990404">
        <w:rPr>
          <w:lang w:val="en-US"/>
        </w:rPr>
        <w:t>the monitor from a distance of 60</w:t>
      </w:r>
      <w:r w:rsidR="008E4E3C">
        <w:rPr>
          <w:lang w:val="en-US"/>
        </w:rPr>
        <w:t xml:space="preserve"> cm</w:t>
      </w:r>
      <w:r w:rsidR="005863B9">
        <w:rPr>
          <w:lang w:val="en-US"/>
        </w:rPr>
        <w:t>.</w:t>
      </w:r>
    </w:p>
    <w:p w:rsidR="00ED5372" w:rsidRDefault="00576360" w:rsidP="00BA1DD9">
      <w:pPr>
        <w:pStyle w:val="FA-Paragraphtext"/>
        <w:rPr>
          <w:lang w:val="en-US"/>
        </w:rPr>
      </w:pPr>
      <w:r>
        <w:t xml:space="preserve">Since our tasks </w:t>
      </w:r>
      <w:r w:rsidR="00F252A2">
        <w:t xml:space="preserve">suggest </w:t>
      </w:r>
      <w:r w:rsidR="001308A1">
        <w:t>short</w:t>
      </w:r>
      <w:r>
        <w:t xml:space="preserve"> du</w:t>
      </w:r>
      <w:r w:rsidR="001308A1">
        <w:t>ration of stimulus presentation, the latter was admini</w:t>
      </w:r>
      <w:r w:rsidR="00ED5372">
        <w:t>stered through retrace control</w:t>
      </w:r>
      <w:r w:rsidR="00643603">
        <w:t xml:space="preserve"> procedure</w:t>
      </w:r>
      <w:r w:rsidR="00ED5372">
        <w:t>.</w:t>
      </w:r>
      <w:r w:rsidR="001E3DB6">
        <w:t>RT was</w:t>
      </w:r>
      <w:r w:rsidR="00ED5372">
        <w:t xml:space="preserve"> registered using a special USB</w:t>
      </w:r>
      <w:r w:rsidR="00C2527C">
        <w:t xml:space="preserve"> response pad, providing the </w:t>
      </w:r>
      <w:r w:rsidR="00ED5372">
        <w:t xml:space="preserve">precision of </w:t>
      </w:r>
      <w:r w:rsidR="00ED5372" w:rsidRPr="00ED5372">
        <w:rPr>
          <w:lang w:val="en-US"/>
        </w:rPr>
        <w:t xml:space="preserve">± 5 </w:t>
      </w:r>
      <w:r w:rsidR="00ED5372">
        <w:rPr>
          <w:lang w:val="en-US"/>
        </w:rPr>
        <w:t>ms</w:t>
      </w:r>
      <w:r w:rsidR="001E3DB6">
        <w:rPr>
          <w:lang w:val="en-US"/>
        </w:rPr>
        <w:t>.</w:t>
      </w:r>
    </w:p>
    <w:p w:rsidR="005332C2" w:rsidRPr="00BA1DD9" w:rsidRDefault="005332C2" w:rsidP="00BA1DD9">
      <w:pPr>
        <w:pStyle w:val="FA-Paragraphtext"/>
      </w:pPr>
      <w:r>
        <w:rPr>
          <w:lang w:val="en-US"/>
        </w:rPr>
        <w:t>All experiment tasks were created using ‘Practice MSU’ integrated computer system (UMK Psychology Company, Russia</w:t>
      </w:r>
      <w:r w:rsidR="00CF4672">
        <w:rPr>
          <w:lang w:val="en-US"/>
        </w:rPr>
        <w:t>, http://psychosoft.ru</w:t>
      </w:r>
      <w:r>
        <w:rPr>
          <w:lang w:val="en-US"/>
        </w:rPr>
        <w:t>).</w:t>
      </w:r>
    </w:p>
    <w:p w:rsidR="009D146C" w:rsidRPr="00772C3A" w:rsidRDefault="009D146C" w:rsidP="009D146C">
      <w:pPr>
        <w:pStyle w:val="FA-SubHeader"/>
      </w:pPr>
      <w:r>
        <w:t>Stimuli</w:t>
      </w:r>
    </w:p>
    <w:p w:rsidR="009D146C" w:rsidRDefault="009D146C" w:rsidP="009D146C">
      <w:pPr>
        <w:pStyle w:val="FA-Paragraphtext"/>
      </w:pPr>
      <w:r>
        <w:rPr>
          <w:lang w:val="en-US"/>
        </w:rPr>
        <w:t>In</w:t>
      </w:r>
      <w:r w:rsidR="00DE508E">
        <w:rPr>
          <w:i/>
          <w:lang w:val="en-US"/>
        </w:rPr>
        <w:t>YN</w:t>
      </w:r>
      <w:r w:rsidR="00654500">
        <w:rPr>
          <w:lang w:val="en-US"/>
        </w:rPr>
        <w:t xml:space="preserve"> task</w:t>
      </w:r>
      <w:r>
        <w:t xml:space="preserve"> stimuli were visual patterns consisting of six letters (</w:t>
      </w:r>
      <w:r>
        <w:rPr>
          <w:lang w:val="en-US"/>
        </w:rPr>
        <w:t>Times New Roman font, size 16). The horizontal distance between letter</w:t>
      </w:r>
      <w:r w:rsidR="00F26D62">
        <w:rPr>
          <w:lang w:val="en-US"/>
        </w:rPr>
        <w:t>s</w:t>
      </w:r>
      <w:r>
        <w:rPr>
          <w:lang w:val="en-US"/>
        </w:rPr>
        <w:t xml:space="preserve"> was 35</w:t>
      </w:r>
      <w:r w:rsidR="00F239A2">
        <w:rPr>
          <w:lang w:val="en-US"/>
        </w:rPr>
        <w:t xml:space="preserve"> mm, the vertical one was 55 mm</w:t>
      </w:r>
      <w:r>
        <w:t xml:space="preserve">. </w:t>
      </w:r>
      <w:r w:rsidR="00DE508E">
        <w:t>Three stimuli were used: ‘signal’, ‘noise’, and ‘</w:t>
      </w:r>
      <w:r w:rsidR="00DE508E" w:rsidRPr="005B2003">
        <w:t>distractor</w:t>
      </w:r>
      <w:r w:rsidR="00DE508E">
        <w:t>’</w:t>
      </w:r>
      <w:r w:rsidR="00F239A2">
        <w:t xml:space="preserve"> (fig. 01)</w:t>
      </w:r>
      <w:r w:rsidR="00DE508E">
        <w:t xml:space="preserve">. </w:t>
      </w:r>
      <w:r>
        <w:t>In</w:t>
      </w:r>
      <w:r w:rsidR="00DE508E">
        <w:rPr>
          <w:i/>
        </w:rPr>
        <w:t>SD</w:t>
      </w:r>
      <w:r w:rsidR="00DE508E">
        <w:t xml:space="preserve"> task</w:t>
      </w:r>
      <w:r>
        <w:t xml:space="preserve"> stimuli were two 1000 Hz tones </w:t>
      </w:r>
      <w:r w:rsidRPr="000C1F2A">
        <w:rPr>
          <w:lang w:val="en-US"/>
        </w:rPr>
        <w:t xml:space="preserve">200 </w:t>
      </w:r>
      <w:r>
        <w:rPr>
          <w:lang w:val="en-US"/>
        </w:rPr>
        <w:t>ms duration with ISI</w:t>
      </w:r>
      <w:r>
        <w:t xml:space="preserve"> 500 ms. ITI was 2500 ms for both tasks.</w:t>
      </w:r>
    </w:p>
    <w:p w:rsidR="001C4D8B" w:rsidRDefault="001C4D8B" w:rsidP="009D146C">
      <w:pPr>
        <w:pStyle w:val="FA-Paragraphtext"/>
        <w:rPr>
          <w:lang w:val="en-US"/>
        </w:rPr>
      </w:pPr>
      <w:r>
        <w:rPr>
          <w:lang w:val="en-US"/>
        </w:rPr>
        <w:t xml:space="preserve">The duration of visual pattern presentation (90 or 60 ms) and difference between pairs of </w:t>
      </w:r>
      <w:r w:rsidR="00654500">
        <w:rPr>
          <w:lang w:val="en-US"/>
        </w:rPr>
        <w:t xml:space="preserve">auditory </w:t>
      </w:r>
      <w:r>
        <w:rPr>
          <w:lang w:val="en-US"/>
        </w:rPr>
        <w:t xml:space="preserve">stimuli (2 or 1 dB) were used to provide task’s difficulty level, and therefore the level of uncertainty.Each task consisted of five series: (1) introductory – </w:t>
      </w:r>
      <w:r w:rsidR="00654500">
        <w:rPr>
          <w:lang w:val="en-US"/>
        </w:rPr>
        <w:t>10 trials</w:t>
      </w:r>
      <w:r>
        <w:rPr>
          <w:lang w:val="en-US"/>
        </w:rPr>
        <w:t xml:space="preserve">, (2) easy training – 30 trials, (3) hard training – 30 trials, (4) </w:t>
      </w:r>
      <w:r w:rsidR="008D06C7">
        <w:rPr>
          <w:lang w:val="en-US"/>
        </w:rPr>
        <w:t xml:space="preserve">main </w:t>
      </w:r>
      <w:r>
        <w:rPr>
          <w:lang w:val="en-US"/>
        </w:rPr>
        <w:t xml:space="preserve">easy – 100 trials, and (5) </w:t>
      </w:r>
      <w:r w:rsidR="008D06C7">
        <w:rPr>
          <w:lang w:val="en-US"/>
        </w:rPr>
        <w:t xml:space="preserve">main </w:t>
      </w:r>
      <w:r>
        <w:rPr>
          <w:lang w:val="en-US"/>
        </w:rPr>
        <w:t>hard – 100 trials.</w:t>
      </w:r>
    </w:p>
    <w:p w:rsidR="00FD70E3" w:rsidRPr="00772C3A" w:rsidRDefault="00BE7F17" w:rsidP="00FD70E3">
      <w:pPr>
        <w:pStyle w:val="FA-Break"/>
        <w:jc w:val="left"/>
      </w:pPr>
      <w:r>
        <w:pict>
          <v:group id="_x0000_s1033" editas="canvas" style="width:151.2pt;height:66.15pt;mso-position-horizontal-relative:char;mso-position-vertical-relative:line" coordorigin="3012,2565" coordsize="2327,1018">
            <o:lock v:ext="edit" aspectratio="t"/>
            <v:shape id="_x0000_s1034" type="#_x0000_t75" style="position:absolute;left:3012;top:2565;width:2327;height:1018" o:preferrelative="f">
              <v:fill o:detectmouseclick="t"/>
              <v:path o:extrusionok="t" o:connecttype="none"/>
              <o:lock v:ext="edit" text="t"/>
            </v:shape>
            <v:group id="_x0000_s1035" style="position:absolute;left:3065;top:2632;width:2203;height:890" coordorigin="7242,2284" coordsize="2204,891">
              <v:shapetype id="_x0000_t202" coordsize="21600,21600" o:spt="202" path="m,l,21600r21600,l21600,xe">
                <v:stroke joinstyle="miter"/>
                <v:path gradientshapeok="t" o:connecttype="rect"/>
              </v:shapetype>
              <v:shape id="_x0000_s1036" type="#_x0000_t202" style="position:absolute;left:7988;top:2284;width:711;height:891" fillcolor="white [3201]" strokecolor="#a5a5a5 [2092]" strokeweight="1pt">
                <v:stroke dashstyle="dash"/>
                <v:shadow color="#868686"/>
                <v:textbox style="mso-next-textbox:#_x0000_s1036">
                  <w:txbxContent>
                    <w:p w:rsidR="00FD70E3" w:rsidRPr="00AF745E" w:rsidRDefault="00FD70E3" w:rsidP="00AE7202">
                      <w:pPr>
                        <w:spacing w:after="0" w:line="240" w:lineRule="auto"/>
                        <w:jc w:val="center"/>
                        <w:rPr>
                          <w:rFonts w:ascii="Times New Roman" w:hAnsi="Times New Roman" w:cs="Times New Roman"/>
                          <w:sz w:val="24"/>
                          <w:szCs w:val="24"/>
                          <w:lang w:val="en-US"/>
                        </w:rPr>
                      </w:pPr>
                      <w:r w:rsidRPr="00AF745E">
                        <w:rPr>
                          <w:rFonts w:ascii="Times New Roman" w:hAnsi="Times New Roman" w:cs="Times New Roman"/>
                          <w:sz w:val="24"/>
                          <w:szCs w:val="24"/>
                          <w:lang w:val="en-US"/>
                        </w:rPr>
                        <w:t>O</w:t>
                      </w:r>
                      <w:r>
                        <w:rPr>
                          <w:rFonts w:ascii="Times New Roman" w:hAnsi="Times New Roman" w:cs="Times New Roman"/>
                          <w:sz w:val="24"/>
                          <w:szCs w:val="24"/>
                          <w:lang w:val="en-US"/>
                        </w:rPr>
                        <w:t xml:space="preserve">  O</w:t>
                      </w:r>
                    </w:p>
                    <w:p w:rsidR="00FD70E3" w:rsidRPr="00AF745E" w:rsidRDefault="00FD70E3" w:rsidP="00AE7202">
                      <w:pPr>
                        <w:spacing w:after="0" w:line="240" w:lineRule="auto"/>
                        <w:jc w:val="center"/>
                        <w:rPr>
                          <w:rFonts w:ascii="Times New Roman" w:hAnsi="Times New Roman" w:cs="Times New Roman"/>
                          <w:sz w:val="24"/>
                          <w:szCs w:val="24"/>
                          <w:lang w:val="en-US"/>
                        </w:rPr>
                      </w:pPr>
                      <w:r w:rsidRPr="00AF745E">
                        <w:rPr>
                          <w:rFonts w:ascii="Times New Roman" w:hAnsi="Times New Roman" w:cs="Times New Roman"/>
                          <w:sz w:val="24"/>
                          <w:szCs w:val="24"/>
                          <w:lang w:val="en-US"/>
                        </w:rPr>
                        <w:t>O</w:t>
                      </w:r>
                      <w:r>
                        <w:rPr>
                          <w:rFonts w:ascii="Times New Roman" w:hAnsi="Times New Roman" w:cs="Times New Roman"/>
                          <w:sz w:val="24"/>
                          <w:szCs w:val="24"/>
                          <w:lang w:val="en-US"/>
                        </w:rPr>
                        <w:t xml:space="preserve">  O</w:t>
                      </w:r>
                    </w:p>
                    <w:p w:rsidR="00FD70E3" w:rsidRDefault="00FD70E3" w:rsidP="00AE720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  O</w:t>
                      </w:r>
                    </w:p>
                    <w:p w:rsidR="00FD70E3" w:rsidRPr="00647191" w:rsidRDefault="00FD70E3" w:rsidP="00AE7202">
                      <w:pPr>
                        <w:spacing w:after="0" w:line="240" w:lineRule="auto"/>
                        <w:jc w:val="center"/>
                        <w:rPr>
                          <w:rFonts w:ascii="Times New Roman" w:hAnsi="Times New Roman" w:cs="Times New Roman"/>
                          <w:sz w:val="12"/>
                          <w:szCs w:val="12"/>
                          <w:lang w:val="en-US"/>
                        </w:rPr>
                      </w:pPr>
                      <w:r w:rsidRPr="00647191">
                        <w:rPr>
                          <w:rFonts w:ascii="Times New Roman" w:hAnsi="Times New Roman" w:cs="Times New Roman"/>
                          <w:sz w:val="12"/>
                          <w:szCs w:val="12"/>
                          <w:lang w:val="en-US"/>
                        </w:rPr>
                        <w:t>‘noise’</w:t>
                      </w:r>
                    </w:p>
                  </w:txbxContent>
                </v:textbox>
              </v:shape>
              <v:shape id="_x0000_s1037" type="#_x0000_t202" style="position:absolute;left:8734;top:2284;width:712;height:890" fillcolor="white [3201]" strokecolor="#a5a5a5 [2092]" strokeweight="1pt">
                <v:stroke dashstyle="dash"/>
                <v:shadow color="#868686"/>
                <v:textbox style="mso-next-textbox:#_x0000_s1037">
                  <w:txbxContent>
                    <w:p w:rsidR="00FD70E3" w:rsidRPr="00AF745E" w:rsidRDefault="00FD70E3" w:rsidP="00AE7202">
                      <w:pPr>
                        <w:spacing w:after="0" w:line="240" w:lineRule="auto"/>
                        <w:jc w:val="center"/>
                        <w:rPr>
                          <w:rFonts w:ascii="Times New Roman" w:hAnsi="Times New Roman" w:cs="Times New Roman"/>
                          <w:sz w:val="24"/>
                          <w:szCs w:val="24"/>
                          <w:lang w:val="en-US"/>
                        </w:rPr>
                      </w:pPr>
                      <w:r w:rsidRPr="00AF745E">
                        <w:rPr>
                          <w:rFonts w:ascii="Times New Roman" w:hAnsi="Times New Roman" w:cs="Times New Roman"/>
                          <w:sz w:val="24"/>
                          <w:szCs w:val="24"/>
                          <w:lang w:val="en-US"/>
                        </w:rPr>
                        <w:t>O</w:t>
                      </w:r>
                      <w:r>
                        <w:rPr>
                          <w:rFonts w:ascii="Times New Roman" w:hAnsi="Times New Roman" w:cs="Times New Roman"/>
                          <w:sz w:val="24"/>
                          <w:szCs w:val="24"/>
                          <w:lang w:val="en-US"/>
                        </w:rPr>
                        <w:t xml:space="preserve">  O</w:t>
                      </w:r>
                    </w:p>
                    <w:p w:rsidR="00FD70E3" w:rsidRPr="00AF745E" w:rsidRDefault="00FD70E3" w:rsidP="00AE7202">
                      <w:pPr>
                        <w:spacing w:after="0" w:line="240" w:lineRule="auto"/>
                        <w:jc w:val="center"/>
                        <w:rPr>
                          <w:rFonts w:ascii="Times New Roman" w:hAnsi="Times New Roman" w:cs="Times New Roman"/>
                          <w:sz w:val="24"/>
                          <w:szCs w:val="24"/>
                          <w:lang w:val="en-US"/>
                        </w:rPr>
                      </w:pPr>
                      <w:r w:rsidRPr="00AF745E">
                        <w:rPr>
                          <w:rFonts w:ascii="Times New Roman" w:hAnsi="Times New Roman" w:cs="Times New Roman"/>
                          <w:sz w:val="24"/>
                          <w:szCs w:val="24"/>
                          <w:lang w:val="en-US"/>
                        </w:rPr>
                        <w:t>O</w:t>
                      </w:r>
                      <w:r>
                        <w:rPr>
                          <w:rFonts w:ascii="Times New Roman" w:hAnsi="Times New Roman" w:cs="Times New Roman"/>
                          <w:sz w:val="24"/>
                          <w:szCs w:val="24"/>
                          <w:lang w:val="en-US"/>
                        </w:rPr>
                        <w:t xml:space="preserve">  Q</w:t>
                      </w:r>
                    </w:p>
                    <w:p w:rsidR="00FD70E3" w:rsidRDefault="00FD70E3" w:rsidP="00AE720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Q  O</w:t>
                      </w:r>
                    </w:p>
                    <w:p w:rsidR="00FD70E3" w:rsidRPr="00647191" w:rsidRDefault="00FD70E3" w:rsidP="00AE7202">
                      <w:pPr>
                        <w:spacing w:after="0" w:line="240" w:lineRule="auto"/>
                        <w:jc w:val="center"/>
                        <w:rPr>
                          <w:rFonts w:ascii="Times New Roman" w:hAnsi="Times New Roman" w:cs="Times New Roman"/>
                          <w:sz w:val="12"/>
                          <w:szCs w:val="12"/>
                          <w:lang w:val="en-US"/>
                        </w:rPr>
                      </w:pPr>
                      <w:r w:rsidRPr="00647191">
                        <w:rPr>
                          <w:rFonts w:ascii="Times New Roman" w:hAnsi="Times New Roman" w:cs="Times New Roman"/>
                          <w:sz w:val="12"/>
                          <w:szCs w:val="12"/>
                          <w:lang w:val="en-US"/>
                        </w:rPr>
                        <w:t>‘distractor’</w:t>
                      </w:r>
                    </w:p>
                  </w:txbxContent>
                </v:textbox>
              </v:shape>
              <v:shape id="_x0000_s1038" type="#_x0000_t202" style="position:absolute;left:7242;top:2284;width:711;height:891" fillcolor="white [3201]" strokecolor="#a5a5a5 [2092]" strokeweight="1pt">
                <v:stroke dashstyle="dash"/>
                <v:shadow color="#868686"/>
                <v:textbox style="mso-next-textbox:#_x0000_s1038">
                  <w:txbxContent>
                    <w:p w:rsidR="00FD70E3" w:rsidRPr="00AF745E" w:rsidRDefault="00FD70E3" w:rsidP="00AE7202">
                      <w:pPr>
                        <w:spacing w:after="0" w:line="240" w:lineRule="auto"/>
                        <w:jc w:val="center"/>
                        <w:rPr>
                          <w:rFonts w:ascii="Times New Roman" w:hAnsi="Times New Roman" w:cs="Times New Roman"/>
                          <w:sz w:val="24"/>
                          <w:szCs w:val="24"/>
                          <w:lang w:val="en-US"/>
                        </w:rPr>
                      </w:pPr>
                      <w:r w:rsidRPr="00AF745E">
                        <w:rPr>
                          <w:rFonts w:ascii="Times New Roman" w:hAnsi="Times New Roman" w:cs="Times New Roman"/>
                          <w:sz w:val="24"/>
                          <w:szCs w:val="24"/>
                          <w:lang w:val="en-US"/>
                        </w:rPr>
                        <w:t>O</w:t>
                      </w:r>
                      <w:r>
                        <w:rPr>
                          <w:rFonts w:ascii="Times New Roman" w:hAnsi="Times New Roman" w:cs="Times New Roman"/>
                          <w:sz w:val="24"/>
                          <w:szCs w:val="24"/>
                          <w:lang w:val="en-US"/>
                        </w:rPr>
                        <w:t xml:space="preserve">  O</w:t>
                      </w:r>
                    </w:p>
                    <w:p w:rsidR="00FD70E3" w:rsidRPr="00AF745E" w:rsidRDefault="00FD70E3" w:rsidP="00AE7202">
                      <w:pPr>
                        <w:spacing w:after="0" w:line="240" w:lineRule="auto"/>
                        <w:jc w:val="center"/>
                        <w:rPr>
                          <w:rFonts w:ascii="Times New Roman" w:hAnsi="Times New Roman" w:cs="Times New Roman"/>
                          <w:sz w:val="24"/>
                          <w:szCs w:val="24"/>
                          <w:lang w:val="en-US"/>
                        </w:rPr>
                      </w:pPr>
                      <w:r w:rsidRPr="00AF745E">
                        <w:rPr>
                          <w:rFonts w:ascii="Times New Roman" w:hAnsi="Times New Roman" w:cs="Times New Roman"/>
                          <w:sz w:val="24"/>
                          <w:szCs w:val="24"/>
                          <w:lang w:val="en-US"/>
                        </w:rPr>
                        <w:t>O</w:t>
                      </w:r>
                      <w:r>
                        <w:rPr>
                          <w:rFonts w:ascii="Times New Roman" w:hAnsi="Times New Roman" w:cs="Times New Roman"/>
                          <w:sz w:val="24"/>
                          <w:szCs w:val="24"/>
                          <w:lang w:val="en-US"/>
                        </w:rPr>
                        <w:t xml:space="preserve">  O</w:t>
                      </w:r>
                    </w:p>
                    <w:p w:rsidR="00FD70E3" w:rsidRDefault="00FD70E3" w:rsidP="00AE720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Q  O</w:t>
                      </w:r>
                    </w:p>
                    <w:p w:rsidR="00FD70E3" w:rsidRPr="00647191" w:rsidRDefault="00FD70E3" w:rsidP="00AE7202">
                      <w:pPr>
                        <w:spacing w:after="0" w:line="240" w:lineRule="auto"/>
                        <w:jc w:val="center"/>
                        <w:rPr>
                          <w:rFonts w:ascii="Times New Roman" w:hAnsi="Times New Roman" w:cs="Times New Roman"/>
                          <w:sz w:val="12"/>
                          <w:szCs w:val="12"/>
                          <w:lang w:val="en-US"/>
                        </w:rPr>
                      </w:pPr>
                      <w:r w:rsidRPr="00647191">
                        <w:rPr>
                          <w:rFonts w:ascii="Times New Roman" w:hAnsi="Times New Roman" w:cs="Times New Roman"/>
                          <w:sz w:val="12"/>
                          <w:szCs w:val="12"/>
                          <w:lang w:val="en-US"/>
                        </w:rPr>
                        <w:t>‘signal’</w:t>
                      </w:r>
                    </w:p>
                  </w:txbxContent>
                </v:textbox>
              </v:shape>
            </v:group>
            <w10:wrap type="none"/>
            <w10:anchorlock/>
          </v:group>
        </w:pict>
      </w:r>
      <w:r w:rsidR="00FD70E3">
        <w:br w:type="textWrapping" w:clear="all"/>
      </w:r>
    </w:p>
    <w:p w:rsidR="00FD70E3" w:rsidRDefault="00FD70E3" w:rsidP="00FD70E3">
      <w:pPr>
        <w:pStyle w:val="FA-Fnumber"/>
      </w:pPr>
      <w:r>
        <w:t xml:space="preserve">Stimulus patterns, presented in </w:t>
      </w:r>
      <w:r>
        <w:rPr>
          <w:i/>
        </w:rPr>
        <w:t xml:space="preserve">YN </w:t>
      </w:r>
      <w:r>
        <w:t>task</w:t>
      </w:r>
    </w:p>
    <w:p w:rsidR="00E6556D" w:rsidRPr="00772C3A" w:rsidRDefault="005B2003" w:rsidP="00E6556D">
      <w:pPr>
        <w:pStyle w:val="FA-SubHeader"/>
      </w:pPr>
      <w:r>
        <w:t>Procedure</w:t>
      </w:r>
    </w:p>
    <w:p w:rsidR="00DE508E" w:rsidRDefault="00654500" w:rsidP="00654500">
      <w:pPr>
        <w:pStyle w:val="FA-Paragraphtext"/>
      </w:pPr>
      <w:r>
        <w:t>Participants started experimental session with performing two psychophysical tasks</w:t>
      </w:r>
      <w:r w:rsidR="00DE508E">
        <w:t>.</w:t>
      </w:r>
      <w:r w:rsidR="00F239A2">
        <w:t xml:space="preserve"> In </w:t>
      </w:r>
      <w:r w:rsidR="00F239A2" w:rsidRPr="00F239A2">
        <w:rPr>
          <w:i/>
        </w:rPr>
        <w:t>YN</w:t>
      </w:r>
      <w:r w:rsidR="00F239A2">
        <w:t xml:space="preserve"> task observers were instructed to answer ‘yes’ when a ‘signal’ was presented, and answer ‘no’ in case ‘noise’ or ‘distractor’ appeared. In </w:t>
      </w:r>
      <w:r w:rsidR="00F239A2" w:rsidRPr="00F239A2">
        <w:rPr>
          <w:i/>
        </w:rPr>
        <w:t>SD</w:t>
      </w:r>
      <w:r w:rsidR="00F239A2">
        <w:t xml:space="preserve"> task observers were asked to assess whether presented pairs of sounds were same or different in loudness.</w:t>
      </w:r>
      <w:r w:rsidR="009F6282">
        <w:t xml:space="preserve"> The motor responses were registered by pressing on two different </w:t>
      </w:r>
      <w:r w:rsidR="009F6282">
        <w:lastRenderedPageBreak/>
        <w:t>USB pad buttons.</w:t>
      </w:r>
      <w:r w:rsidR="009F4B77">
        <w:t xml:space="preserve"> After responding participants were asked to assess their response confidence</w:t>
      </w:r>
      <w:r w:rsidR="00641E8E">
        <w:t xml:space="preserve"> with pressing any button </w:t>
      </w:r>
      <w:r w:rsidR="00641E8E">
        <w:rPr>
          <w:lang w:val="en-US"/>
        </w:rPr>
        <w:t>one, two, or three times depending on their confidence level</w:t>
      </w:r>
      <w:r w:rsidR="009F4B77">
        <w:t>.</w:t>
      </w:r>
    </w:p>
    <w:p w:rsidR="00E6556D" w:rsidRDefault="005B2003" w:rsidP="00654500">
      <w:pPr>
        <w:pStyle w:val="FA-Paragraphtext"/>
      </w:pPr>
      <w:r w:rsidRPr="005B2003">
        <w:t>S</w:t>
      </w:r>
      <w:r w:rsidR="006E237A">
        <w:t>ensory s</w:t>
      </w:r>
      <w:r w:rsidRPr="005B2003">
        <w:t>ensitivity</w:t>
      </w:r>
      <w:r w:rsidR="00372643">
        <w:t xml:space="preserve"> (A</w:t>
      </w:r>
      <w:r w:rsidR="00F74B55">
        <w:t>ˈ</w:t>
      </w:r>
      <w:r w:rsidR="00372643">
        <w:t>)</w:t>
      </w:r>
      <w:r w:rsidRPr="005B2003">
        <w:t xml:space="preserve">, </w:t>
      </w:r>
      <w:r w:rsidR="007E1816">
        <w:t>strictness of criterion index</w:t>
      </w:r>
      <w:r w:rsidR="00CE53C2">
        <w:t xml:space="preserve"> (YesRate)</w:t>
      </w:r>
      <w:r w:rsidR="006E237A">
        <w:t xml:space="preserve">, </w:t>
      </w:r>
      <w:r w:rsidRPr="005B2003">
        <w:t>RT, RT stability</w:t>
      </w:r>
      <w:r w:rsidR="00372643">
        <w:t xml:space="preserve"> (SDRT)</w:t>
      </w:r>
      <w:r w:rsidRPr="005B2003">
        <w:t xml:space="preserve"> and confidence </w:t>
      </w:r>
      <w:r w:rsidR="00372643">
        <w:t xml:space="preserve">(Conf) </w:t>
      </w:r>
      <w:r w:rsidRPr="005B2003">
        <w:t>were assessed for each task.</w:t>
      </w:r>
    </w:p>
    <w:p w:rsidR="00CC3DE4" w:rsidRPr="00772C3A" w:rsidRDefault="00F13966" w:rsidP="00CC3DE4">
      <w:pPr>
        <w:pStyle w:val="FA-Paragraphtext"/>
      </w:pPr>
      <w:r>
        <w:t>After psychophysical tasks participants performed a set of CS tests:</w:t>
      </w:r>
    </w:p>
    <w:p w:rsidR="00CC3DE4" w:rsidRDefault="004D1287" w:rsidP="00CC3DE4">
      <w:pPr>
        <w:pStyle w:val="FA-AlfaH"/>
      </w:pPr>
      <w:r>
        <w:t>Leveling-S</w:t>
      </w:r>
      <w:r w:rsidR="00CC3DE4">
        <w:t>harpening</w:t>
      </w:r>
      <w:r>
        <w:t xml:space="preserve"> House Test (Santostefano, 1971);</w:t>
      </w:r>
    </w:p>
    <w:p w:rsidR="00CC3DE4" w:rsidRDefault="004D1287" w:rsidP="00CC3DE4">
      <w:pPr>
        <w:pStyle w:val="FA-AlfaH"/>
      </w:pPr>
      <w:r>
        <w:t>Stroop Color-Word Interference Test (Stroop, 1935), assessing f</w:t>
      </w:r>
      <w:r w:rsidR="00CC3DE4">
        <w:t>lexibility-rigidity of cognitive control</w:t>
      </w:r>
      <w:r>
        <w:t>;</w:t>
      </w:r>
    </w:p>
    <w:p w:rsidR="00CC3DE4" w:rsidRDefault="004D1287" w:rsidP="00CC3DE4">
      <w:pPr>
        <w:pStyle w:val="FA-AlfaH"/>
      </w:pPr>
      <w:r>
        <w:t>Object Sorting Test (Gardner et al., 1959), evaluating e</w:t>
      </w:r>
      <w:r w:rsidR="00CC3DE4">
        <w:t>quivalence range</w:t>
      </w:r>
      <w:r>
        <w:t>;</w:t>
      </w:r>
    </w:p>
    <w:p w:rsidR="00CC3DE4" w:rsidRPr="00CC3DE4" w:rsidRDefault="004D1287" w:rsidP="00E6556D">
      <w:pPr>
        <w:pStyle w:val="FA-AlfaH"/>
        <w:rPr>
          <w:lang w:val="en-US"/>
        </w:rPr>
      </w:pPr>
      <w:r>
        <w:t>Size Estimation Test (Gardner et al., 1959), appraising f</w:t>
      </w:r>
      <w:r w:rsidR="00CC3DE4">
        <w:t>ocusing-scanning</w:t>
      </w:r>
      <w:r>
        <w:t xml:space="preserve"> and augmenting-reducing.</w:t>
      </w:r>
    </w:p>
    <w:permEnd w:id="11"/>
    <w:p w:rsidR="007A75DE" w:rsidRPr="00772C3A" w:rsidRDefault="007A75DE" w:rsidP="00AF1B7B">
      <w:pPr>
        <w:pStyle w:val="FA-Paragraphtext"/>
      </w:pPr>
    </w:p>
    <w:p w:rsidR="00E768AA" w:rsidRPr="00772C3A" w:rsidRDefault="00E768AA" w:rsidP="007A75DE">
      <w:pPr>
        <w:pStyle w:val="FA-Break"/>
      </w:pPr>
    </w:p>
    <w:p w:rsidR="00E768AA" w:rsidRPr="00772C3A" w:rsidRDefault="00E768AA" w:rsidP="007A75DE">
      <w:pPr>
        <w:pStyle w:val="FA-MainHeader"/>
      </w:pPr>
      <w:r w:rsidRPr="00772C3A">
        <w:t>Findings</w:t>
      </w:r>
    </w:p>
    <w:p w:rsidR="007A75DE" w:rsidRDefault="008948D7" w:rsidP="007A75DE">
      <w:pPr>
        <w:pStyle w:val="FA-Paragraphtext"/>
      </w:pPr>
      <w:permStart w:id="12" w:edGrp="everyone"/>
      <w:r>
        <w:t>One-way ANOVAs showed several significant effects of CS on psychophysical tasks performance</w:t>
      </w:r>
      <w:r w:rsidR="00CE34CC">
        <w:t xml:space="preserve"> indices. The Tables 1-5 present only significant </w:t>
      </w:r>
      <w:r w:rsidR="00CB4406">
        <w:t xml:space="preserve">(p </w:t>
      </w:r>
      <w:r w:rsidR="00081258">
        <w:rPr>
          <w:lang w:val="en-US"/>
        </w:rPr>
        <w:t>&lt; 0.</w:t>
      </w:r>
      <w:r w:rsidR="00CB4406">
        <w:rPr>
          <w:lang w:val="en-US"/>
        </w:rPr>
        <w:t xml:space="preserve">05) </w:t>
      </w:r>
      <w:r w:rsidR="00081258">
        <w:t>and quasi-significant (0.05 &lt; p &lt; 0.</w:t>
      </w:r>
      <w:r w:rsidR="00CB4406">
        <w:t xml:space="preserve">1) </w:t>
      </w:r>
      <w:r w:rsidR="00CE34CC">
        <w:t>effects</w:t>
      </w:r>
      <w:r>
        <w:t>.</w:t>
      </w:r>
    </w:p>
    <w:p w:rsidR="007A75DE" w:rsidRPr="00772C3A" w:rsidRDefault="00E6556D" w:rsidP="005B3BEF">
      <w:pPr>
        <w:pStyle w:val="FA-SubHeader"/>
      </w:pPr>
      <w:r>
        <w:t>Augmenting-reducing</w:t>
      </w:r>
    </w:p>
    <w:p w:rsidR="007A75DE" w:rsidRPr="00772C3A" w:rsidRDefault="00E6556D" w:rsidP="007A75DE">
      <w:pPr>
        <w:pStyle w:val="FA-Paragraphtext"/>
      </w:pPr>
      <w:r w:rsidRPr="00E6556D">
        <w:t xml:space="preserve">Augmenters showed higher accuracy and speed in hard tasks due to their underlying ability to perform under conditions of extremely low stimulation intensity (Larsen, Zarate, 1991). The reducers’ strategy to underestimate perceived intensity of incoming stimulation has proved to be less efficient in the hard </w:t>
      </w:r>
      <w:r w:rsidR="00D13D93">
        <w:rPr>
          <w:i/>
        </w:rPr>
        <w:t>SD</w:t>
      </w:r>
      <w:r w:rsidRPr="00E6556D">
        <w:t xml:space="preserve"> task, where the actual stimulation intensity is already too low. Whereas no significant differences were found for easy tasks, suggesting that both groups showed the same final efficiency, even though it is associated with different resource costs and strategies used.</w:t>
      </w:r>
    </w:p>
    <w:p w:rsidR="007A75DE" w:rsidRPr="005B3BEF" w:rsidRDefault="00E6556D" w:rsidP="005B3BEF">
      <w:pPr>
        <w:pStyle w:val="FA-SubHeader"/>
      </w:pPr>
      <w:r>
        <w:t>Leveling-sharpening</w:t>
      </w:r>
    </w:p>
    <w:p w:rsidR="007A75DE" w:rsidRDefault="00E6556D" w:rsidP="007A75DE">
      <w:pPr>
        <w:pStyle w:val="FA-Paragraphtext"/>
      </w:pPr>
      <w:r w:rsidRPr="00E6556D">
        <w:t>Sharpeners showed advantages in both accuracy and speed of solving vigilance tasks. We suggest that the possible explanation of found differences between levelers and sharpeners could be provided by individual features of perceiving and remembering the incoming sensory information as well as comparing it to the previous sensory impressions (Gardner et al., 1959; Santostefano, 1971). Since the stimuli in both our tasks were presented successively, not simultaneously, such task conditions impose an extra workload on short-term memory resources (Humphreys, Revelle, 1984; Parasuraman et al., 1987). Thus, sharpeners tend to shape and create more detailed and precise image of perceived sensory stimulation, which have allowed them to solve the tasks quickly and accurately at the same time.</w:t>
      </w:r>
    </w:p>
    <w:p w:rsidR="00E6556D" w:rsidRPr="005B3BEF" w:rsidRDefault="00E6556D" w:rsidP="00E6556D">
      <w:pPr>
        <w:pStyle w:val="FA-SubHeader"/>
      </w:pPr>
      <w:r>
        <w:t>Flexibility-rigidity of cognitive control</w:t>
      </w:r>
    </w:p>
    <w:p w:rsidR="00E6556D" w:rsidRDefault="00E6556D" w:rsidP="00E6556D">
      <w:pPr>
        <w:pStyle w:val="FA-Paragraphtext"/>
      </w:pPr>
      <w:r>
        <w:t xml:space="preserve">The results indicated that ‘flexible’ subjects showed higher </w:t>
      </w:r>
      <w:r w:rsidR="00D13D93">
        <w:t xml:space="preserve">sensory </w:t>
      </w:r>
      <w:r>
        <w:t xml:space="preserve">sensitivity in </w:t>
      </w:r>
      <w:r w:rsidRPr="00D13D93">
        <w:rPr>
          <w:i/>
        </w:rPr>
        <w:t>YN</w:t>
      </w:r>
      <w:r>
        <w:t xml:space="preserve"> task, but no significant differences were found in </w:t>
      </w:r>
      <w:r w:rsidRPr="00D13D93">
        <w:rPr>
          <w:i/>
        </w:rPr>
        <w:t>SD</w:t>
      </w:r>
      <w:r>
        <w:t xml:space="preserve"> task. One of the possible contributing factors for this may be the difference in tasks conditions. In particular, the conditions of </w:t>
      </w:r>
      <w:r w:rsidRPr="00D13D93">
        <w:rPr>
          <w:i/>
        </w:rPr>
        <w:t>YN</w:t>
      </w:r>
      <w:r>
        <w:t xml:space="preserve"> task imply the necessity of inhibition of impulsive answer ‘yes’ to stimulus with two target letters (‘distractor’). Thus, in order to accomplish the Stroop task successfully, subject should inhibit the automatic or preponent response, which is related to the inhibition mechanism of executive control functions (Miyake et al., 2000) and corresponds </w:t>
      </w:r>
      <w:r w:rsidR="00D13D93">
        <w:t>to ‘flexible control’. Since</w:t>
      </w:r>
      <w:r w:rsidRPr="00D13D93">
        <w:rPr>
          <w:i/>
        </w:rPr>
        <w:t>SD</w:t>
      </w:r>
      <w:r>
        <w:t xml:space="preserve"> task do not require inhibition of impulsive answers, both groups reached out to the same level of sensory performance. </w:t>
      </w:r>
    </w:p>
    <w:p w:rsidR="00E6556D" w:rsidRPr="00772C3A" w:rsidRDefault="00E6556D" w:rsidP="00E6556D">
      <w:pPr>
        <w:pStyle w:val="FA-Paragraphtext"/>
      </w:pPr>
      <w:r>
        <w:t xml:space="preserve">Regarding dynamic aspects of task performance, the advantage in RT was shown by subjects with ‘rigidity of cognitive control’. We believe that found differences reflect the depth of information processing. ‘Rigid’ subjects therefore spend less time on response, in contrast to ‘flexible’ ones, who deal with sensory information in depth. Moreover, the features described above could serve as a possible explanation of </w:t>
      </w:r>
      <w:r w:rsidR="007946BE">
        <w:t xml:space="preserve">quasi-significant </w:t>
      </w:r>
      <w:r>
        <w:t xml:space="preserve">differences in confidence level. Since ‘rigid’ subjects do not tend to </w:t>
      </w:r>
      <w:r>
        <w:lastRenderedPageBreak/>
        <w:t>analyse the incoming sensory information in depth, the threshold of evaluating their answer as confident is lower as it is based on fewer stimuli characteristics.</w:t>
      </w:r>
    </w:p>
    <w:p w:rsidR="00E6556D" w:rsidRPr="005B3BEF" w:rsidRDefault="00E6556D" w:rsidP="00E6556D">
      <w:pPr>
        <w:pStyle w:val="FA-SubHeader"/>
      </w:pPr>
      <w:r>
        <w:t>Equivalence range</w:t>
      </w:r>
    </w:p>
    <w:p w:rsidR="00E6556D" w:rsidRDefault="00E6556D" w:rsidP="00E6556D">
      <w:pPr>
        <w:pStyle w:val="FA-Paragraphtext"/>
      </w:pPr>
      <w:r>
        <w:t xml:space="preserve">Contrary to our initial assumptions, no significant differences in </w:t>
      </w:r>
      <w:r w:rsidR="00D13D93">
        <w:t xml:space="preserve">sensory </w:t>
      </w:r>
      <w:r>
        <w:t xml:space="preserve">sensitivity were found for this CS. It seems that the tendency to build upon the differences between objects refers to person’s conceptual sphere, i.e. the number of categories in individual mental experience and specifities of intellectual activity in general, rather than in perceptive sphere. </w:t>
      </w:r>
    </w:p>
    <w:p w:rsidR="00E6556D" w:rsidRPr="00772C3A" w:rsidRDefault="00E6556D" w:rsidP="00E6556D">
      <w:pPr>
        <w:pStyle w:val="FA-Paragraphtext"/>
      </w:pPr>
      <w:r>
        <w:t xml:space="preserve">However, the significant differences in confidence level were found for </w:t>
      </w:r>
      <w:r w:rsidR="00D13D93">
        <w:t>equivalence range</w:t>
      </w:r>
      <w:r>
        <w:t>. We believe that it is due to ‘narrow’ subjects’ strategy of drawing the attention to differences between stimuli and a more differentiated categorization of sensory experience (Gardner et al., 1959).</w:t>
      </w:r>
    </w:p>
    <w:p w:rsidR="00E6556D" w:rsidRPr="005B3BEF" w:rsidRDefault="00E6556D" w:rsidP="00E6556D">
      <w:pPr>
        <w:pStyle w:val="FA-SubHeader"/>
      </w:pPr>
      <w:r>
        <w:t>Focusing-scanning</w:t>
      </w:r>
    </w:p>
    <w:p w:rsidR="00E6556D" w:rsidRDefault="00E6556D" w:rsidP="00E6556D">
      <w:pPr>
        <w:pStyle w:val="FA-Paragraphtext"/>
      </w:pPr>
      <w:r>
        <w:t xml:space="preserve">We suggest that scanners showed advantage in </w:t>
      </w:r>
      <w:r w:rsidR="00F351A5">
        <w:t xml:space="preserve">sensory </w:t>
      </w:r>
      <w:r>
        <w:t>sensitivity in</w:t>
      </w:r>
      <w:r w:rsidR="00F351A5">
        <w:t xml:space="preserve"> both</w:t>
      </w:r>
      <w:r w:rsidRPr="00F351A5">
        <w:rPr>
          <w:i/>
        </w:rPr>
        <w:t>YN</w:t>
      </w:r>
      <w:r>
        <w:t xml:space="preserve"> task</w:t>
      </w:r>
      <w:r w:rsidR="00F351A5">
        <w:t>s</w:t>
      </w:r>
      <w:r>
        <w:t xml:space="preserve"> due to their underlying ability to allocate attention to various features of visual field, ignoring ones irrelevant to the task demands and goals at the same time (Gardner et al., 1959).</w:t>
      </w:r>
    </w:p>
    <w:p w:rsidR="00E6556D" w:rsidRPr="00772C3A" w:rsidRDefault="00E6556D" w:rsidP="00E6556D">
      <w:pPr>
        <w:pStyle w:val="FA-Paragraphtext"/>
      </w:pPr>
      <w:r>
        <w:t xml:space="preserve">In contrast, focusers showed higher confidence in hard </w:t>
      </w:r>
      <w:r w:rsidRPr="00F351A5">
        <w:rPr>
          <w:i/>
        </w:rPr>
        <w:t>SD</w:t>
      </w:r>
      <w:r>
        <w:t xml:space="preserve"> task. We believe that since focusers tend to draw attention to bright, if not always relevant, features of stimulation, they raise stronger sensory impressions and, in turn, correspondently higher confidence in them.</w:t>
      </w:r>
    </w:p>
    <w:p w:rsidR="007A75DE" w:rsidRPr="00772C3A" w:rsidRDefault="004256D2" w:rsidP="007A75DE">
      <w:pPr>
        <w:pStyle w:val="FA-Tnumbers"/>
      </w:pPr>
      <w:r>
        <w:t>Augmenting-reducing</w:t>
      </w:r>
      <w:r w:rsidR="00CE34CC">
        <w:t xml:space="preserve"> and psychophysical tasks performance</w:t>
      </w:r>
    </w:p>
    <w:tbl>
      <w:tblPr>
        <w:tblStyle w:val="a8"/>
        <w:tblW w:w="0" w:type="auto"/>
        <w:tblLook w:val="04A0"/>
      </w:tblPr>
      <w:tblGrid>
        <w:gridCol w:w="1475"/>
        <w:gridCol w:w="1662"/>
        <w:gridCol w:w="1560"/>
        <w:gridCol w:w="1558"/>
        <w:gridCol w:w="1215"/>
        <w:gridCol w:w="1250"/>
      </w:tblGrid>
      <w:tr w:rsidR="00BA1EE3" w:rsidRPr="00772C3A" w:rsidTr="00D718E9">
        <w:trPr>
          <w:trHeight w:val="340"/>
        </w:trPr>
        <w:tc>
          <w:tcPr>
            <w:tcW w:w="1475" w:type="dxa"/>
            <w:shd w:val="clear" w:color="auto" w:fill="D9D9D9" w:themeFill="background1" w:themeFillShade="D9"/>
            <w:vAlign w:val="center"/>
          </w:tcPr>
          <w:p w:rsidR="00BA1EE3" w:rsidRPr="00772C3A" w:rsidRDefault="00BA1EE3" w:rsidP="005B2B66">
            <w:pPr>
              <w:pStyle w:val="FA-Tableheading"/>
            </w:pPr>
            <w:r>
              <w:t>Task</w:t>
            </w:r>
          </w:p>
        </w:tc>
        <w:tc>
          <w:tcPr>
            <w:tcW w:w="1662" w:type="dxa"/>
            <w:shd w:val="clear" w:color="auto" w:fill="D9D9D9" w:themeFill="background1" w:themeFillShade="D9"/>
            <w:vAlign w:val="center"/>
          </w:tcPr>
          <w:p w:rsidR="00BA1EE3" w:rsidRPr="00772C3A" w:rsidRDefault="00BA1EE3" w:rsidP="005B2B66">
            <w:pPr>
              <w:pStyle w:val="FA-Tableheading"/>
            </w:pPr>
            <w:r>
              <w:t>Performance index</w:t>
            </w:r>
          </w:p>
        </w:tc>
        <w:tc>
          <w:tcPr>
            <w:tcW w:w="1560" w:type="dxa"/>
            <w:shd w:val="clear" w:color="auto" w:fill="D9D9D9" w:themeFill="background1" w:themeFillShade="D9"/>
            <w:vAlign w:val="center"/>
          </w:tcPr>
          <w:p w:rsidR="00BA1EE3" w:rsidRPr="00772C3A" w:rsidRDefault="00146906" w:rsidP="005B2B66">
            <w:pPr>
              <w:pStyle w:val="FA-Tableheading"/>
            </w:pPr>
            <w:r>
              <w:t>Augmenting</w:t>
            </w:r>
          </w:p>
        </w:tc>
        <w:tc>
          <w:tcPr>
            <w:tcW w:w="1558" w:type="dxa"/>
            <w:shd w:val="clear" w:color="auto" w:fill="D9D9D9" w:themeFill="background1" w:themeFillShade="D9"/>
            <w:vAlign w:val="center"/>
          </w:tcPr>
          <w:p w:rsidR="00BA1EE3" w:rsidRPr="00772C3A" w:rsidRDefault="00146906" w:rsidP="005B2B66">
            <w:pPr>
              <w:pStyle w:val="FA-Tableheading"/>
            </w:pPr>
            <w:r>
              <w:t>Reducing</w:t>
            </w:r>
          </w:p>
        </w:tc>
        <w:tc>
          <w:tcPr>
            <w:tcW w:w="1215" w:type="dxa"/>
            <w:shd w:val="clear" w:color="auto" w:fill="D9D9D9" w:themeFill="background1" w:themeFillShade="D9"/>
            <w:vAlign w:val="center"/>
          </w:tcPr>
          <w:p w:rsidR="00BA1EE3" w:rsidRPr="00772C3A" w:rsidRDefault="00BA1EE3" w:rsidP="00D718E9">
            <w:pPr>
              <w:pStyle w:val="FA-Tableheading"/>
            </w:pPr>
            <w:r>
              <w:t>F</w:t>
            </w:r>
          </w:p>
        </w:tc>
        <w:tc>
          <w:tcPr>
            <w:tcW w:w="1250" w:type="dxa"/>
            <w:shd w:val="clear" w:color="auto" w:fill="D9D9D9" w:themeFill="background1" w:themeFillShade="D9"/>
            <w:vAlign w:val="center"/>
          </w:tcPr>
          <w:p w:rsidR="00BA1EE3" w:rsidRPr="00772C3A" w:rsidRDefault="00BA1EE3" w:rsidP="00685C6F">
            <w:pPr>
              <w:pStyle w:val="FA-Tableheading"/>
            </w:pPr>
            <w:r>
              <w:t>Significance level</w:t>
            </w:r>
          </w:p>
        </w:tc>
      </w:tr>
      <w:tr w:rsidR="000644C6" w:rsidRPr="00772C3A" w:rsidTr="00D718E9">
        <w:trPr>
          <w:trHeight w:val="340"/>
        </w:trPr>
        <w:tc>
          <w:tcPr>
            <w:tcW w:w="1475" w:type="dxa"/>
            <w:vAlign w:val="center"/>
          </w:tcPr>
          <w:p w:rsidR="000644C6" w:rsidRDefault="000644C6" w:rsidP="005B2B66">
            <w:pPr>
              <w:pStyle w:val="FA-Table"/>
            </w:pPr>
            <w:r>
              <w:t>Easy YN</w:t>
            </w:r>
          </w:p>
        </w:tc>
        <w:tc>
          <w:tcPr>
            <w:tcW w:w="1662" w:type="dxa"/>
            <w:vAlign w:val="center"/>
          </w:tcPr>
          <w:p w:rsidR="000644C6" w:rsidRDefault="000644C6" w:rsidP="005B2B66">
            <w:pPr>
              <w:pStyle w:val="FA-Table"/>
            </w:pPr>
            <w:r>
              <w:t>YesRate</w:t>
            </w:r>
          </w:p>
        </w:tc>
        <w:tc>
          <w:tcPr>
            <w:tcW w:w="1560" w:type="dxa"/>
            <w:vAlign w:val="center"/>
          </w:tcPr>
          <w:p w:rsidR="000644C6" w:rsidRDefault="000644C6" w:rsidP="005B2B66">
            <w:pPr>
              <w:pStyle w:val="FA-Table"/>
            </w:pPr>
            <w:r>
              <w:t>0</w:t>
            </w:r>
            <w:r w:rsidR="00081258">
              <w:t>.</w:t>
            </w:r>
            <w:r>
              <w:t>447</w:t>
            </w:r>
          </w:p>
        </w:tc>
        <w:tc>
          <w:tcPr>
            <w:tcW w:w="1558" w:type="dxa"/>
            <w:vAlign w:val="center"/>
          </w:tcPr>
          <w:p w:rsidR="000644C6" w:rsidRDefault="000644C6" w:rsidP="005B2B66">
            <w:pPr>
              <w:pStyle w:val="FA-Table"/>
            </w:pPr>
            <w:r>
              <w:t>0</w:t>
            </w:r>
            <w:r w:rsidR="00081258">
              <w:t>.</w:t>
            </w:r>
            <w:r>
              <w:t>495</w:t>
            </w:r>
          </w:p>
        </w:tc>
        <w:tc>
          <w:tcPr>
            <w:tcW w:w="1215" w:type="dxa"/>
            <w:vAlign w:val="center"/>
          </w:tcPr>
          <w:p w:rsidR="000644C6" w:rsidRDefault="000644C6" w:rsidP="00D718E9">
            <w:pPr>
              <w:pStyle w:val="FA-Table"/>
            </w:pPr>
            <w:r>
              <w:t>3</w:t>
            </w:r>
            <w:r w:rsidR="00081258">
              <w:t>.</w:t>
            </w:r>
            <w:r>
              <w:t>494</w:t>
            </w:r>
          </w:p>
        </w:tc>
        <w:tc>
          <w:tcPr>
            <w:tcW w:w="1250" w:type="dxa"/>
            <w:vAlign w:val="center"/>
          </w:tcPr>
          <w:p w:rsidR="000644C6" w:rsidRDefault="000644C6" w:rsidP="00685C6F">
            <w:pPr>
              <w:pStyle w:val="FA-Table"/>
            </w:pPr>
            <w:r>
              <w:t>0</w:t>
            </w:r>
            <w:r w:rsidR="00081258">
              <w:t>.</w:t>
            </w:r>
            <w:r>
              <w:t>066</w:t>
            </w:r>
          </w:p>
        </w:tc>
      </w:tr>
      <w:tr w:rsidR="00146906" w:rsidRPr="00772C3A" w:rsidTr="00D718E9">
        <w:trPr>
          <w:trHeight w:val="340"/>
        </w:trPr>
        <w:tc>
          <w:tcPr>
            <w:tcW w:w="1475" w:type="dxa"/>
            <w:vAlign w:val="center"/>
          </w:tcPr>
          <w:p w:rsidR="00146906" w:rsidRPr="00772C3A" w:rsidRDefault="00CE34CC" w:rsidP="005B2B66">
            <w:pPr>
              <w:pStyle w:val="FA-Table"/>
            </w:pPr>
            <w:r>
              <w:t>Hard YN</w:t>
            </w:r>
          </w:p>
        </w:tc>
        <w:tc>
          <w:tcPr>
            <w:tcW w:w="1662" w:type="dxa"/>
            <w:vAlign w:val="center"/>
          </w:tcPr>
          <w:p w:rsidR="00146906" w:rsidRPr="00772C3A" w:rsidRDefault="00146906" w:rsidP="005B2B66">
            <w:pPr>
              <w:pStyle w:val="FA-Table"/>
            </w:pPr>
            <w:r>
              <w:t>RT</w:t>
            </w:r>
          </w:p>
        </w:tc>
        <w:tc>
          <w:tcPr>
            <w:tcW w:w="1560" w:type="dxa"/>
            <w:vAlign w:val="center"/>
          </w:tcPr>
          <w:p w:rsidR="00146906" w:rsidRPr="00772C3A" w:rsidRDefault="004256D2" w:rsidP="005B2B66">
            <w:pPr>
              <w:pStyle w:val="FA-Table"/>
            </w:pPr>
            <w:r>
              <w:t>0</w:t>
            </w:r>
            <w:r w:rsidR="00081258">
              <w:t>.</w:t>
            </w:r>
            <w:r>
              <w:t>941</w:t>
            </w:r>
          </w:p>
        </w:tc>
        <w:tc>
          <w:tcPr>
            <w:tcW w:w="1558" w:type="dxa"/>
            <w:vAlign w:val="center"/>
          </w:tcPr>
          <w:p w:rsidR="00146906" w:rsidRPr="00772C3A" w:rsidRDefault="004256D2" w:rsidP="005B2B66">
            <w:pPr>
              <w:pStyle w:val="FA-Table"/>
            </w:pPr>
            <w:r>
              <w:t>1</w:t>
            </w:r>
            <w:r w:rsidR="00081258">
              <w:t>.</w:t>
            </w:r>
            <w:r>
              <w:t>039</w:t>
            </w:r>
          </w:p>
        </w:tc>
        <w:tc>
          <w:tcPr>
            <w:tcW w:w="1215" w:type="dxa"/>
            <w:vAlign w:val="center"/>
          </w:tcPr>
          <w:p w:rsidR="00146906" w:rsidRPr="00772C3A" w:rsidRDefault="00BC253A" w:rsidP="00D718E9">
            <w:pPr>
              <w:pStyle w:val="FA-Table"/>
            </w:pPr>
            <w:r>
              <w:t>3</w:t>
            </w:r>
            <w:r w:rsidR="00081258">
              <w:t>.</w:t>
            </w:r>
            <w:r>
              <w:t>972</w:t>
            </w:r>
          </w:p>
        </w:tc>
        <w:tc>
          <w:tcPr>
            <w:tcW w:w="1250" w:type="dxa"/>
            <w:vAlign w:val="center"/>
          </w:tcPr>
          <w:p w:rsidR="00146906" w:rsidRPr="00772C3A" w:rsidRDefault="004256D2" w:rsidP="00685C6F">
            <w:pPr>
              <w:pStyle w:val="FA-Table"/>
            </w:pPr>
            <w:r>
              <w:t>0</w:t>
            </w:r>
            <w:r w:rsidR="00081258">
              <w:t>.</w:t>
            </w:r>
            <w:r>
              <w:t>050</w:t>
            </w:r>
          </w:p>
        </w:tc>
      </w:tr>
      <w:tr w:rsidR="00146906" w:rsidRPr="00772C3A" w:rsidTr="00D718E9">
        <w:trPr>
          <w:trHeight w:val="340"/>
        </w:trPr>
        <w:tc>
          <w:tcPr>
            <w:tcW w:w="1475" w:type="dxa"/>
            <w:vAlign w:val="center"/>
          </w:tcPr>
          <w:p w:rsidR="00146906" w:rsidRPr="00772C3A" w:rsidRDefault="00CE34CC" w:rsidP="005B2B66">
            <w:pPr>
              <w:pStyle w:val="FA-Table"/>
            </w:pPr>
            <w:r>
              <w:t>Easy SD</w:t>
            </w:r>
          </w:p>
        </w:tc>
        <w:tc>
          <w:tcPr>
            <w:tcW w:w="1662" w:type="dxa"/>
            <w:vAlign w:val="center"/>
          </w:tcPr>
          <w:p w:rsidR="00146906" w:rsidRPr="00772C3A" w:rsidRDefault="00146906" w:rsidP="005B2B66">
            <w:pPr>
              <w:pStyle w:val="FA-Table"/>
            </w:pPr>
            <w:r>
              <w:t>Conf</w:t>
            </w:r>
          </w:p>
        </w:tc>
        <w:tc>
          <w:tcPr>
            <w:tcW w:w="1560" w:type="dxa"/>
            <w:vAlign w:val="center"/>
          </w:tcPr>
          <w:p w:rsidR="00146906" w:rsidRPr="00772C3A" w:rsidRDefault="004256D2" w:rsidP="005B2B66">
            <w:pPr>
              <w:pStyle w:val="FA-Table"/>
            </w:pPr>
            <w:r>
              <w:t>0</w:t>
            </w:r>
            <w:r w:rsidR="00081258">
              <w:t>.</w:t>
            </w:r>
            <w:r>
              <w:t>888</w:t>
            </w:r>
          </w:p>
        </w:tc>
        <w:tc>
          <w:tcPr>
            <w:tcW w:w="1558" w:type="dxa"/>
            <w:vAlign w:val="center"/>
          </w:tcPr>
          <w:p w:rsidR="00146906" w:rsidRPr="00772C3A" w:rsidRDefault="004256D2" w:rsidP="005B2B66">
            <w:pPr>
              <w:pStyle w:val="FA-Table"/>
            </w:pPr>
            <w:r>
              <w:t>0</w:t>
            </w:r>
            <w:r w:rsidR="00081258">
              <w:t>.</w:t>
            </w:r>
            <w:r>
              <w:t>842</w:t>
            </w:r>
          </w:p>
        </w:tc>
        <w:tc>
          <w:tcPr>
            <w:tcW w:w="1215" w:type="dxa"/>
            <w:vAlign w:val="center"/>
          </w:tcPr>
          <w:p w:rsidR="00146906" w:rsidRPr="00772C3A" w:rsidRDefault="00BC253A" w:rsidP="00D718E9">
            <w:pPr>
              <w:pStyle w:val="FA-Table"/>
            </w:pPr>
            <w:r>
              <w:t>3</w:t>
            </w:r>
            <w:r w:rsidR="00081258">
              <w:t>.</w:t>
            </w:r>
            <w:r>
              <w:t>327</w:t>
            </w:r>
          </w:p>
        </w:tc>
        <w:tc>
          <w:tcPr>
            <w:tcW w:w="1250" w:type="dxa"/>
            <w:vAlign w:val="center"/>
          </w:tcPr>
          <w:p w:rsidR="00146906" w:rsidRPr="00772C3A" w:rsidRDefault="004256D2" w:rsidP="00685C6F">
            <w:pPr>
              <w:pStyle w:val="FA-Table"/>
            </w:pPr>
            <w:r>
              <w:t>0</w:t>
            </w:r>
            <w:r w:rsidR="00081258">
              <w:t>.</w:t>
            </w:r>
            <w:r>
              <w:t>072</w:t>
            </w:r>
          </w:p>
        </w:tc>
      </w:tr>
      <w:tr w:rsidR="00146906" w:rsidRPr="00772C3A" w:rsidTr="00D718E9">
        <w:trPr>
          <w:trHeight w:val="340"/>
        </w:trPr>
        <w:tc>
          <w:tcPr>
            <w:tcW w:w="1475" w:type="dxa"/>
            <w:vAlign w:val="center"/>
          </w:tcPr>
          <w:p w:rsidR="00146906" w:rsidRPr="00772C3A" w:rsidRDefault="00146906" w:rsidP="005B2B66">
            <w:pPr>
              <w:pStyle w:val="FA-Table"/>
            </w:pPr>
            <w:r>
              <w:t>Hard SD</w:t>
            </w:r>
          </w:p>
        </w:tc>
        <w:tc>
          <w:tcPr>
            <w:tcW w:w="1662" w:type="dxa"/>
            <w:vAlign w:val="center"/>
          </w:tcPr>
          <w:p w:rsidR="00146906" w:rsidRPr="00772C3A" w:rsidRDefault="00F74B55" w:rsidP="005B2B66">
            <w:pPr>
              <w:pStyle w:val="FA-Table"/>
            </w:pPr>
            <w:r>
              <w:t>Aˈ</w:t>
            </w:r>
          </w:p>
        </w:tc>
        <w:tc>
          <w:tcPr>
            <w:tcW w:w="1560" w:type="dxa"/>
            <w:vAlign w:val="center"/>
          </w:tcPr>
          <w:p w:rsidR="00146906" w:rsidRPr="00772C3A" w:rsidRDefault="004256D2" w:rsidP="005B2B66">
            <w:pPr>
              <w:pStyle w:val="FA-Table"/>
            </w:pPr>
            <w:r>
              <w:t>0</w:t>
            </w:r>
            <w:r w:rsidR="00081258">
              <w:t>.</w:t>
            </w:r>
            <w:r>
              <w:t>833</w:t>
            </w:r>
          </w:p>
        </w:tc>
        <w:tc>
          <w:tcPr>
            <w:tcW w:w="1558" w:type="dxa"/>
            <w:vAlign w:val="center"/>
          </w:tcPr>
          <w:p w:rsidR="00146906" w:rsidRPr="00772C3A" w:rsidRDefault="004256D2" w:rsidP="005B2B66">
            <w:pPr>
              <w:pStyle w:val="FA-Table"/>
            </w:pPr>
            <w:r>
              <w:t>0</w:t>
            </w:r>
            <w:r w:rsidR="00081258">
              <w:t>.</w:t>
            </w:r>
            <w:r>
              <w:t>771</w:t>
            </w:r>
          </w:p>
        </w:tc>
        <w:tc>
          <w:tcPr>
            <w:tcW w:w="1215" w:type="dxa"/>
            <w:vAlign w:val="center"/>
          </w:tcPr>
          <w:p w:rsidR="00146906" w:rsidRPr="00772C3A" w:rsidRDefault="00BC253A" w:rsidP="00D718E9">
            <w:pPr>
              <w:pStyle w:val="FA-Table"/>
            </w:pPr>
            <w:r>
              <w:t>7</w:t>
            </w:r>
            <w:r w:rsidR="00081258">
              <w:t>.</w:t>
            </w:r>
            <w:r>
              <w:t>317</w:t>
            </w:r>
          </w:p>
        </w:tc>
        <w:tc>
          <w:tcPr>
            <w:tcW w:w="1250" w:type="dxa"/>
            <w:vAlign w:val="center"/>
          </w:tcPr>
          <w:p w:rsidR="00146906" w:rsidRPr="00772C3A" w:rsidRDefault="004256D2" w:rsidP="00685C6F">
            <w:pPr>
              <w:pStyle w:val="FA-Table"/>
            </w:pPr>
            <w:r>
              <w:t>0</w:t>
            </w:r>
            <w:r w:rsidR="00081258">
              <w:t>.</w:t>
            </w:r>
            <w:r>
              <w:t>008</w:t>
            </w:r>
          </w:p>
        </w:tc>
      </w:tr>
    </w:tbl>
    <w:p w:rsidR="007A75DE" w:rsidRDefault="007A75DE" w:rsidP="007A75DE">
      <w:pPr>
        <w:pStyle w:val="FA-Paragraphtext"/>
      </w:pPr>
    </w:p>
    <w:p w:rsidR="00BA1EE3" w:rsidRPr="00772C3A" w:rsidRDefault="004256D2" w:rsidP="00BA1EE3">
      <w:pPr>
        <w:pStyle w:val="FA-Tnumbers"/>
      </w:pPr>
      <w:r>
        <w:t>Leveling-sharpening</w:t>
      </w:r>
      <w:r w:rsidR="00CE34CC">
        <w:t xml:space="preserve"> and psychophysical tasks performance</w:t>
      </w:r>
    </w:p>
    <w:tbl>
      <w:tblPr>
        <w:tblStyle w:val="a8"/>
        <w:tblW w:w="0" w:type="auto"/>
        <w:tblLook w:val="04A0"/>
      </w:tblPr>
      <w:tblGrid>
        <w:gridCol w:w="1476"/>
        <w:gridCol w:w="1662"/>
        <w:gridCol w:w="1558"/>
        <w:gridCol w:w="1558"/>
        <w:gridCol w:w="1216"/>
        <w:gridCol w:w="1250"/>
      </w:tblGrid>
      <w:tr w:rsidR="00BA1EE3" w:rsidRPr="00772C3A" w:rsidTr="00BC253A">
        <w:trPr>
          <w:trHeight w:val="340"/>
        </w:trPr>
        <w:tc>
          <w:tcPr>
            <w:tcW w:w="1476" w:type="dxa"/>
            <w:shd w:val="clear" w:color="auto" w:fill="D9D9D9" w:themeFill="background1" w:themeFillShade="D9"/>
            <w:vAlign w:val="center"/>
          </w:tcPr>
          <w:p w:rsidR="00BA1EE3" w:rsidRPr="00772C3A" w:rsidRDefault="00BA1EE3" w:rsidP="005B2B66">
            <w:pPr>
              <w:pStyle w:val="FA-Tableheading"/>
            </w:pPr>
            <w:r>
              <w:t>Task</w:t>
            </w:r>
          </w:p>
        </w:tc>
        <w:tc>
          <w:tcPr>
            <w:tcW w:w="1662" w:type="dxa"/>
            <w:shd w:val="clear" w:color="auto" w:fill="D9D9D9" w:themeFill="background1" w:themeFillShade="D9"/>
            <w:vAlign w:val="center"/>
          </w:tcPr>
          <w:p w:rsidR="00BA1EE3" w:rsidRPr="00772C3A" w:rsidRDefault="00BA1EE3" w:rsidP="005B2B66">
            <w:pPr>
              <w:pStyle w:val="FA-Tableheading"/>
            </w:pPr>
            <w:r>
              <w:t>Performance index</w:t>
            </w:r>
          </w:p>
        </w:tc>
        <w:tc>
          <w:tcPr>
            <w:tcW w:w="1558" w:type="dxa"/>
            <w:shd w:val="clear" w:color="auto" w:fill="D9D9D9" w:themeFill="background1" w:themeFillShade="D9"/>
            <w:vAlign w:val="center"/>
          </w:tcPr>
          <w:p w:rsidR="00BA1EE3" w:rsidRPr="00772C3A" w:rsidRDefault="00685C6F" w:rsidP="005B2B66">
            <w:pPr>
              <w:pStyle w:val="FA-Tableheading"/>
            </w:pPr>
            <w:r>
              <w:t>Leveling</w:t>
            </w:r>
          </w:p>
        </w:tc>
        <w:tc>
          <w:tcPr>
            <w:tcW w:w="1558" w:type="dxa"/>
            <w:shd w:val="clear" w:color="auto" w:fill="D9D9D9" w:themeFill="background1" w:themeFillShade="D9"/>
            <w:vAlign w:val="center"/>
          </w:tcPr>
          <w:p w:rsidR="00BA1EE3" w:rsidRPr="00772C3A" w:rsidRDefault="00685C6F" w:rsidP="005B2B66">
            <w:pPr>
              <w:pStyle w:val="FA-Tableheading"/>
            </w:pPr>
            <w:r>
              <w:t>Sharpening</w:t>
            </w:r>
          </w:p>
        </w:tc>
        <w:tc>
          <w:tcPr>
            <w:tcW w:w="1216" w:type="dxa"/>
            <w:shd w:val="clear" w:color="auto" w:fill="D9D9D9" w:themeFill="background1" w:themeFillShade="D9"/>
            <w:vAlign w:val="center"/>
          </w:tcPr>
          <w:p w:rsidR="00BA1EE3" w:rsidRPr="00772C3A" w:rsidRDefault="00BA1EE3" w:rsidP="00BC253A">
            <w:pPr>
              <w:pStyle w:val="FA-Tableheading"/>
            </w:pPr>
            <w:r>
              <w:t>F</w:t>
            </w:r>
          </w:p>
        </w:tc>
        <w:tc>
          <w:tcPr>
            <w:tcW w:w="1250" w:type="dxa"/>
            <w:shd w:val="clear" w:color="auto" w:fill="D9D9D9" w:themeFill="background1" w:themeFillShade="D9"/>
            <w:vAlign w:val="center"/>
          </w:tcPr>
          <w:p w:rsidR="00BA1EE3" w:rsidRPr="00772C3A" w:rsidRDefault="00BA1EE3" w:rsidP="00685C6F">
            <w:pPr>
              <w:pStyle w:val="FA-Tableheading"/>
            </w:pPr>
            <w:r>
              <w:t>Significance level</w:t>
            </w:r>
          </w:p>
        </w:tc>
      </w:tr>
      <w:tr w:rsidR="00146906" w:rsidRPr="00772C3A" w:rsidTr="00BC253A">
        <w:trPr>
          <w:trHeight w:val="340"/>
        </w:trPr>
        <w:tc>
          <w:tcPr>
            <w:tcW w:w="1476" w:type="dxa"/>
            <w:vMerge w:val="restart"/>
            <w:vAlign w:val="center"/>
          </w:tcPr>
          <w:p w:rsidR="00146906" w:rsidRPr="00BA1EE3" w:rsidRDefault="00146906" w:rsidP="005B2B66">
            <w:pPr>
              <w:pStyle w:val="FA-Table"/>
              <w:rPr>
                <w:lang w:val="en-US"/>
              </w:rPr>
            </w:pPr>
            <w:r>
              <w:rPr>
                <w:lang w:val="en-US"/>
              </w:rPr>
              <w:t>Easy YN</w:t>
            </w:r>
          </w:p>
        </w:tc>
        <w:tc>
          <w:tcPr>
            <w:tcW w:w="1662" w:type="dxa"/>
            <w:vAlign w:val="center"/>
          </w:tcPr>
          <w:p w:rsidR="00146906" w:rsidRPr="00772C3A" w:rsidRDefault="00F74B55" w:rsidP="005B2B66">
            <w:pPr>
              <w:pStyle w:val="FA-Table"/>
            </w:pPr>
            <w:r>
              <w:t>Aˈ</w:t>
            </w:r>
          </w:p>
        </w:tc>
        <w:tc>
          <w:tcPr>
            <w:tcW w:w="1558" w:type="dxa"/>
            <w:vAlign w:val="center"/>
          </w:tcPr>
          <w:p w:rsidR="00146906" w:rsidRPr="00772C3A" w:rsidRDefault="00685C6F" w:rsidP="005B2B66">
            <w:pPr>
              <w:pStyle w:val="FA-Table"/>
            </w:pPr>
            <w:r>
              <w:t>0</w:t>
            </w:r>
            <w:r w:rsidR="00081258">
              <w:t>.</w:t>
            </w:r>
            <w:r>
              <w:t>778</w:t>
            </w:r>
          </w:p>
        </w:tc>
        <w:tc>
          <w:tcPr>
            <w:tcW w:w="1558" w:type="dxa"/>
            <w:vAlign w:val="center"/>
          </w:tcPr>
          <w:p w:rsidR="00146906" w:rsidRPr="00772C3A" w:rsidRDefault="00685C6F" w:rsidP="005B2B66">
            <w:pPr>
              <w:pStyle w:val="FA-Table"/>
            </w:pPr>
            <w:r>
              <w:t>0</w:t>
            </w:r>
            <w:r w:rsidR="00081258">
              <w:t>.</w:t>
            </w:r>
            <w:r>
              <w:t>845</w:t>
            </w:r>
          </w:p>
        </w:tc>
        <w:tc>
          <w:tcPr>
            <w:tcW w:w="1216" w:type="dxa"/>
            <w:vAlign w:val="center"/>
          </w:tcPr>
          <w:p w:rsidR="00146906" w:rsidRPr="00772C3A" w:rsidRDefault="00BC253A" w:rsidP="00BC253A">
            <w:pPr>
              <w:pStyle w:val="FA-Table"/>
            </w:pPr>
            <w:r>
              <w:t>4</w:t>
            </w:r>
            <w:r w:rsidR="00081258">
              <w:t>.</w:t>
            </w:r>
            <w:r>
              <w:t>603</w:t>
            </w:r>
          </w:p>
        </w:tc>
        <w:tc>
          <w:tcPr>
            <w:tcW w:w="1250" w:type="dxa"/>
            <w:vAlign w:val="center"/>
          </w:tcPr>
          <w:p w:rsidR="00146906" w:rsidRPr="00772C3A" w:rsidRDefault="00685C6F" w:rsidP="00685C6F">
            <w:pPr>
              <w:pStyle w:val="FA-Table"/>
            </w:pPr>
            <w:r>
              <w:t>0</w:t>
            </w:r>
            <w:r w:rsidR="00081258">
              <w:t>.</w:t>
            </w:r>
            <w:r>
              <w:t>035</w:t>
            </w:r>
          </w:p>
        </w:tc>
      </w:tr>
      <w:tr w:rsidR="00146906" w:rsidRPr="00772C3A" w:rsidTr="00BC253A">
        <w:trPr>
          <w:trHeight w:val="340"/>
        </w:trPr>
        <w:tc>
          <w:tcPr>
            <w:tcW w:w="1476" w:type="dxa"/>
            <w:vMerge/>
            <w:vAlign w:val="center"/>
          </w:tcPr>
          <w:p w:rsidR="00146906" w:rsidRPr="00772C3A" w:rsidRDefault="00146906" w:rsidP="005B2B66">
            <w:pPr>
              <w:pStyle w:val="FA-Table"/>
            </w:pPr>
          </w:p>
        </w:tc>
        <w:tc>
          <w:tcPr>
            <w:tcW w:w="1662" w:type="dxa"/>
            <w:vAlign w:val="center"/>
          </w:tcPr>
          <w:p w:rsidR="00146906" w:rsidRPr="00772C3A" w:rsidRDefault="00146906" w:rsidP="005B2B66">
            <w:pPr>
              <w:pStyle w:val="FA-Table"/>
            </w:pPr>
            <w:r>
              <w:t>RT</w:t>
            </w:r>
          </w:p>
        </w:tc>
        <w:tc>
          <w:tcPr>
            <w:tcW w:w="1558" w:type="dxa"/>
            <w:vAlign w:val="center"/>
          </w:tcPr>
          <w:p w:rsidR="00146906" w:rsidRPr="00772C3A" w:rsidRDefault="00685C6F" w:rsidP="005B2B66">
            <w:pPr>
              <w:pStyle w:val="FA-Table"/>
            </w:pPr>
            <w:r>
              <w:t>1</w:t>
            </w:r>
            <w:r w:rsidR="00081258">
              <w:t>.</w:t>
            </w:r>
            <w:r>
              <w:t>192</w:t>
            </w:r>
          </w:p>
        </w:tc>
        <w:tc>
          <w:tcPr>
            <w:tcW w:w="1558" w:type="dxa"/>
            <w:vAlign w:val="center"/>
          </w:tcPr>
          <w:p w:rsidR="00146906" w:rsidRPr="00772C3A" w:rsidRDefault="00685C6F" w:rsidP="005B2B66">
            <w:pPr>
              <w:pStyle w:val="FA-Table"/>
            </w:pPr>
            <w:r>
              <w:t>1</w:t>
            </w:r>
            <w:r w:rsidR="00081258">
              <w:t>.</w:t>
            </w:r>
            <w:r>
              <w:t>020</w:t>
            </w:r>
          </w:p>
        </w:tc>
        <w:tc>
          <w:tcPr>
            <w:tcW w:w="1216" w:type="dxa"/>
            <w:vAlign w:val="center"/>
          </w:tcPr>
          <w:p w:rsidR="00146906" w:rsidRPr="00772C3A" w:rsidRDefault="00BC253A" w:rsidP="00BC253A">
            <w:pPr>
              <w:pStyle w:val="FA-Table"/>
            </w:pPr>
            <w:r>
              <w:t>6</w:t>
            </w:r>
            <w:r w:rsidR="00081258">
              <w:t>.</w:t>
            </w:r>
            <w:r>
              <w:t>362</w:t>
            </w:r>
          </w:p>
        </w:tc>
        <w:tc>
          <w:tcPr>
            <w:tcW w:w="1250" w:type="dxa"/>
            <w:vAlign w:val="center"/>
          </w:tcPr>
          <w:p w:rsidR="00146906" w:rsidRPr="00772C3A" w:rsidRDefault="00685C6F" w:rsidP="00685C6F">
            <w:pPr>
              <w:pStyle w:val="FA-Table"/>
            </w:pPr>
            <w:r>
              <w:t>0</w:t>
            </w:r>
            <w:r w:rsidR="00081258">
              <w:t>.</w:t>
            </w:r>
            <w:r>
              <w:t>014</w:t>
            </w:r>
          </w:p>
        </w:tc>
      </w:tr>
      <w:tr w:rsidR="00146906" w:rsidRPr="00772C3A" w:rsidTr="00BC253A">
        <w:trPr>
          <w:trHeight w:val="340"/>
        </w:trPr>
        <w:tc>
          <w:tcPr>
            <w:tcW w:w="1476" w:type="dxa"/>
            <w:vMerge/>
            <w:vAlign w:val="center"/>
          </w:tcPr>
          <w:p w:rsidR="00146906" w:rsidRPr="00772C3A" w:rsidRDefault="00146906" w:rsidP="005B2B66">
            <w:pPr>
              <w:pStyle w:val="FA-Table"/>
            </w:pPr>
          </w:p>
        </w:tc>
        <w:tc>
          <w:tcPr>
            <w:tcW w:w="1662" w:type="dxa"/>
            <w:vAlign w:val="center"/>
          </w:tcPr>
          <w:p w:rsidR="00146906" w:rsidRPr="00772C3A" w:rsidRDefault="00146906" w:rsidP="005B2B66">
            <w:pPr>
              <w:pStyle w:val="FA-Table"/>
            </w:pPr>
            <w:r>
              <w:t>SDRT</w:t>
            </w:r>
          </w:p>
        </w:tc>
        <w:tc>
          <w:tcPr>
            <w:tcW w:w="1558" w:type="dxa"/>
            <w:vAlign w:val="center"/>
          </w:tcPr>
          <w:p w:rsidR="00146906" w:rsidRPr="00772C3A" w:rsidRDefault="00685C6F" w:rsidP="005B2B66">
            <w:pPr>
              <w:pStyle w:val="FA-Table"/>
            </w:pPr>
            <w:r>
              <w:t>0</w:t>
            </w:r>
            <w:r w:rsidR="00081258">
              <w:t>.</w:t>
            </w:r>
            <w:r>
              <w:t>532</w:t>
            </w:r>
          </w:p>
        </w:tc>
        <w:tc>
          <w:tcPr>
            <w:tcW w:w="1558" w:type="dxa"/>
            <w:vAlign w:val="center"/>
          </w:tcPr>
          <w:p w:rsidR="00146906" w:rsidRPr="00772C3A" w:rsidRDefault="00685C6F" w:rsidP="005B2B66">
            <w:pPr>
              <w:pStyle w:val="FA-Table"/>
            </w:pPr>
            <w:r>
              <w:t>0</w:t>
            </w:r>
            <w:r w:rsidR="00081258">
              <w:t>.</w:t>
            </w:r>
            <w:r>
              <w:t>437</w:t>
            </w:r>
          </w:p>
        </w:tc>
        <w:tc>
          <w:tcPr>
            <w:tcW w:w="1216" w:type="dxa"/>
            <w:vAlign w:val="center"/>
          </w:tcPr>
          <w:p w:rsidR="00146906" w:rsidRPr="00772C3A" w:rsidRDefault="00BC253A" w:rsidP="00BC253A">
            <w:pPr>
              <w:pStyle w:val="FA-Table"/>
            </w:pPr>
            <w:r>
              <w:t>2</w:t>
            </w:r>
            <w:r w:rsidR="00081258">
              <w:t>.</w:t>
            </w:r>
            <w:r>
              <w:t>791</w:t>
            </w:r>
          </w:p>
        </w:tc>
        <w:tc>
          <w:tcPr>
            <w:tcW w:w="1250" w:type="dxa"/>
            <w:vAlign w:val="center"/>
          </w:tcPr>
          <w:p w:rsidR="00146906" w:rsidRPr="00772C3A" w:rsidRDefault="00685C6F" w:rsidP="00685C6F">
            <w:pPr>
              <w:pStyle w:val="FA-Table"/>
            </w:pPr>
            <w:r>
              <w:t>0</w:t>
            </w:r>
            <w:r w:rsidR="00081258">
              <w:t>.</w:t>
            </w:r>
            <w:r>
              <w:t>099</w:t>
            </w:r>
          </w:p>
        </w:tc>
      </w:tr>
      <w:tr w:rsidR="00146906" w:rsidRPr="00772C3A" w:rsidTr="00BC253A">
        <w:trPr>
          <w:trHeight w:val="340"/>
        </w:trPr>
        <w:tc>
          <w:tcPr>
            <w:tcW w:w="1476" w:type="dxa"/>
            <w:vMerge w:val="restart"/>
            <w:vAlign w:val="center"/>
          </w:tcPr>
          <w:p w:rsidR="00146906" w:rsidRPr="00772C3A" w:rsidRDefault="00146906" w:rsidP="005B2B66">
            <w:pPr>
              <w:pStyle w:val="FA-Table"/>
            </w:pPr>
            <w:r>
              <w:t>Hard YN</w:t>
            </w:r>
          </w:p>
        </w:tc>
        <w:tc>
          <w:tcPr>
            <w:tcW w:w="1662" w:type="dxa"/>
            <w:vAlign w:val="center"/>
          </w:tcPr>
          <w:p w:rsidR="00146906" w:rsidRPr="00772C3A" w:rsidRDefault="00F74B55" w:rsidP="005B2B66">
            <w:pPr>
              <w:pStyle w:val="FA-Table"/>
            </w:pPr>
            <w:r>
              <w:t>Aˈ</w:t>
            </w:r>
          </w:p>
        </w:tc>
        <w:tc>
          <w:tcPr>
            <w:tcW w:w="1558" w:type="dxa"/>
            <w:vAlign w:val="center"/>
          </w:tcPr>
          <w:p w:rsidR="00146906" w:rsidRPr="00772C3A" w:rsidRDefault="00685C6F" w:rsidP="005B2B66">
            <w:pPr>
              <w:pStyle w:val="FA-Table"/>
            </w:pPr>
            <w:r>
              <w:t>0</w:t>
            </w:r>
            <w:r w:rsidR="00081258">
              <w:t>.</w:t>
            </w:r>
            <w:r>
              <w:t>740</w:t>
            </w:r>
          </w:p>
        </w:tc>
        <w:tc>
          <w:tcPr>
            <w:tcW w:w="1558" w:type="dxa"/>
            <w:vAlign w:val="center"/>
          </w:tcPr>
          <w:p w:rsidR="00146906" w:rsidRPr="00772C3A" w:rsidRDefault="00685C6F" w:rsidP="005B2B66">
            <w:pPr>
              <w:pStyle w:val="FA-Table"/>
            </w:pPr>
            <w:r>
              <w:t>0</w:t>
            </w:r>
            <w:r w:rsidR="00081258">
              <w:t>.</w:t>
            </w:r>
            <w:r>
              <w:t>819</w:t>
            </w:r>
          </w:p>
        </w:tc>
        <w:tc>
          <w:tcPr>
            <w:tcW w:w="1216" w:type="dxa"/>
            <w:vAlign w:val="center"/>
          </w:tcPr>
          <w:p w:rsidR="00146906" w:rsidRPr="00772C3A" w:rsidRDefault="00BC253A" w:rsidP="00BC253A">
            <w:pPr>
              <w:pStyle w:val="FA-Table"/>
            </w:pPr>
            <w:r>
              <w:t>5</w:t>
            </w:r>
            <w:r w:rsidR="00081258">
              <w:t>.</w:t>
            </w:r>
            <w:r>
              <w:t>834</w:t>
            </w:r>
          </w:p>
        </w:tc>
        <w:tc>
          <w:tcPr>
            <w:tcW w:w="1250" w:type="dxa"/>
            <w:vAlign w:val="center"/>
          </w:tcPr>
          <w:p w:rsidR="00146906" w:rsidRPr="00772C3A" w:rsidRDefault="00685C6F" w:rsidP="00685C6F">
            <w:pPr>
              <w:pStyle w:val="FA-Table"/>
            </w:pPr>
            <w:r>
              <w:t>0</w:t>
            </w:r>
            <w:r w:rsidR="00081258">
              <w:t>.</w:t>
            </w:r>
            <w:r>
              <w:t>018</w:t>
            </w:r>
          </w:p>
        </w:tc>
      </w:tr>
      <w:tr w:rsidR="00146906" w:rsidRPr="00772C3A" w:rsidTr="00BC253A">
        <w:trPr>
          <w:trHeight w:val="340"/>
        </w:trPr>
        <w:tc>
          <w:tcPr>
            <w:tcW w:w="1476" w:type="dxa"/>
            <w:vMerge/>
            <w:vAlign w:val="center"/>
          </w:tcPr>
          <w:p w:rsidR="00146906" w:rsidRPr="00772C3A" w:rsidRDefault="00146906" w:rsidP="005B2B66">
            <w:pPr>
              <w:pStyle w:val="FA-Table"/>
            </w:pPr>
          </w:p>
        </w:tc>
        <w:tc>
          <w:tcPr>
            <w:tcW w:w="1662" w:type="dxa"/>
            <w:vAlign w:val="center"/>
          </w:tcPr>
          <w:p w:rsidR="00146906" w:rsidRPr="00772C3A" w:rsidRDefault="00146906" w:rsidP="005B2B66">
            <w:pPr>
              <w:pStyle w:val="FA-Table"/>
            </w:pPr>
            <w:r>
              <w:t>SDRT</w:t>
            </w:r>
          </w:p>
        </w:tc>
        <w:tc>
          <w:tcPr>
            <w:tcW w:w="1558" w:type="dxa"/>
            <w:vAlign w:val="center"/>
          </w:tcPr>
          <w:p w:rsidR="00146906" w:rsidRPr="00772C3A" w:rsidRDefault="00685C6F" w:rsidP="005B2B66">
            <w:pPr>
              <w:pStyle w:val="FA-Table"/>
            </w:pPr>
            <w:r>
              <w:t>0</w:t>
            </w:r>
            <w:r w:rsidR="00081258">
              <w:t>.</w:t>
            </w:r>
            <w:r>
              <w:t>447</w:t>
            </w:r>
          </w:p>
        </w:tc>
        <w:tc>
          <w:tcPr>
            <w:tcW w:w="1558" w:type="dxa"/>
            <w:vAlign w:val="center"/>
          </w:tcPr>
          <w:p w:rsidR="00146906" w:rsidRPr="00772C3A" w:rsidRDefault="00685C6F" w:rsidP="005B2B66">
            <w:pPr>
              <w:pStyle w:val="FA-Table"/>
            </w:pPr>
            <w:r>
              <w:t>0</w:t>
            </w:r>
            <w:r w:rsidR="00081258">
              <w:t>.</w:t>
            </w:r>
            <w:r>
              <w:t>373</w:t>
            </w:r>
          </w:p>
        </w:tc>
        <w:tc>
          <w:tcPr>
            <w:tcW w:w="1216" w:type="dxa"/>
            <w:vAlign w:val="center"/>
          </w:tcPr>
          <w:p w:rsidR="00146906" w:rsidRPr="00772C3A" w:rsidRDefault="00BC253A" w:rsidP="00BC253A">
            <w:pPr>
              <w:pStyle w:val="FA-Table"/>
            </w:pPr>
            <w:r>
              <w:t>3</w:t>
            </w:r>
            <w:r w:rsidR="00081258">
              <w:t>.</w:t>
            </w:r>
            <w:r>
              <w:t>173</w:t>
            </w:r>
          </w:p>
        </w:tc>
        <w:tc>
          <w:tcPr>
            <w:tcW w:w="1250" w:type="dxa"/>
            <w:vAlign w:val="center"/>
          </w:tcPr>
          <w:p w:rsidR="00146906" w:rsidRPr="00772C3A" w:rsidRDefault="00685C6F" w:rsidP="00685C6F">
            <w:pPr>
              <w:pStyle w:val="FA-Table"/>
            </w:pPr>
            <w:r>
              <w:t>0</w:t>
            </w:r>
            <w:r w:rsidR="00081258">
              <w:t>.</w:t>
            </w:r>
            <w:r>
              <w:t>079</w:t>
            </w:r>
          </w:p>
        </w:tc>
      </w:tr>
      <w:tr w:rsidR="00146906" w:rsidRPr="00772C3A" w:rsidTr="00BC253A">
        <w:trPr>
          <w:trHeight w:val="340"/>
        </w:trPr>
        <w:tc>
          <w:tcPr>
            <w:tcW w:w="1476" w:type="dxa"/>
            <w:vAlign w:val="center"/>
          </w:tcPr>
          <w:p w:rsidR="00146906" w:rsidRPr="00772C3A" w:rsidRDefault="00146906" w:rsidP="005B2B66">
            <w:pPr>
              <w:pStyle w:val="FA-Table"/>
            </w:pPr>
            <w:r>
              <w:t>Hard SD</w:t>
            </w:r>
          </w:p>
        </w:tc>
        <w:tc>
          <w:tcPr>
            <w:tcW w:w="1662" w:type="dxa"/>
            <w:vAlign w:val="center"/>
          </w:tcPr>
          <w:p w:rsidR="00146906" w:rsidRPr="00772C3A" w:rsidRDefault="00F74B55" w:rsidP="005B2B66">
            <w:pPr>
              <w:pStyle w:val="FA-Table"/>
            </w:pPr>
            <w:r>
              <w:t>Aˈ</w:t>
            </w:r>
          </w:p>
        </w:tc>
        <w:tc>
          <w:tcPr>
            <w:tcW w:w="1558" w:type="dxa"/>
            <w:vAlign w:val="center"/>
          </w:tcPr>
          <w:p w:rsidR="00146906" w:rsidRPr="00772C3A" w:rsidRDefault="00685C6F" w:rsidP="005B2B66">
            <w:pPr>
              <w:pStyle w:val="FA-Table"/>
            </w:pPr>
            <w:r>
              <w:t>0</w:t>
            </w:r>
            <w:r w:rsidR="00081258">
              <w:t>.</w:t>
            </w:r>
            <w:r>
              <w:t>776</w:t>
            </w:r>
          </w:p>
        </w:tc>
        <w:tc>
          <w:tcPr>
            <w:tcW w:w="1558" w:type="dxa"/>
            <w:vAlign w:val="center"/>
          </w:tcPr>
          <w:p w:rsidR="00146906" w:rsidRPr="00772C3A" w:rsidRDefault="00685C6F" w:rsidP="005B2B66">
            <w:pPr>
              <w:pStyle w:val="FA-Table"/>
            </w:pPr>
            <w:r>
              <w:t>0</w:t>
            </w:r>
            <w:r w:rsidR="00081258">
              <w:t>.</w:t>
            </w:r>
            <w:r>
              <w:t>823</w:t>
            </w:r>
          </w:p>
        </w:tc>
        <w:tc>
          <w:tcPr>
            <w:tcW w:w="1216" w:type="dxa"/>
            <w:vAlign w:val="center"/>
          </w:tcPr>
          <w:p w:rsidR="00146906" w:rsidRPr="00772C3A" w:rsidRDefault="00BC253A" w:rsidP="00BC253A">
            <w:pPr>
              <w:pStyle w:val="FA-Table"/>
            </w:pPr>
            <w:r>
              <w:t>4</w:t>
            </w:r>
            <w:r w:rsidR="00081258">
              <w:t>.</w:t>
            </w:r>
            <w:r>
              <w:t>170</w:t>
            </w:r>
          </w:p>
        </w:tc>
        <w:tc>
          <w:tcPr>
            <w:tcW w:w="1250" w:type="dxa"/>
            <w:vAlign w:val="center"/>
          </w:tcPr>
          <w:p w:rsidR="00146906" w:rsidRPr="00772C3A" w:rsidRDefault="00685C6F" w:rsidP="00685C6F">
            <w:pPr>
              <w:pStyle w:val="FA-Table"/>
            </w:pPr>
            <w:r>
              <w:t>0</w:t>
            </w:r>
            <w:r w:rsidR="00081258">
              <w:t>.</w:t>
            </w:r>
            <w:r>
              <w:t>044</w:t>
            </w:r>
          </w:p>
        </w:tc>
      </w:tr>
    </w:tbl>
    <w:p w:rsidR="00BA1EE3" w:rsidRDefault="00BA1EE3" w:rsidP="007A75DE">
      <w:pPr>
        <w:pStyle w:val="FA-Paragraphtext"/>
      </w:pPr>
    </w:p>
    <w:p w:rsidR="00BA1EE3" w:rsidRPr="00772C3A" w:rsidRDefault="00685C6F" w:rsidP="00BA1EE3">
      <w:pPr>
        <w:pStyle w:val="FA-Tnumbers"/>
      </w:pPr>
      <w:r>
        <w:t>Flexibility-rigidity of cognitive control</w:t>
      </w:r>
      <w:r w:rsidR="00CE34CC">
        <w:t xml:space="preserve"> and psychophysical tasks performance</w:t>
      </w:r>
    </w:p>
    <w:tbl>
      <w:tblPr>
        <w:tblStyle w:val="a8"/>
        <w:tblW w:w="0" w:type="auto"/>
        <w:tblLook w:val="04A0"/>
      </w:tblPr>
      <w:tblGrid>
        <w:gridCol w:w="1476"/>
        <w:gridCol w:w="1662"/>
        <w:gridCol w:w="1558"/>
        <w:gridCol w:w="1558"/>
        <w:gridCol w:w="1216"/>
        <w:gridCol w:w="1250"/>
      </w:tblGrid>
      <w:tr w:rsidR="00BA1EE3" w:rsidRPr="00772C3A" w:rsidTr="00BC253A">
        <w:trPr>
          <w:trHeight w:val="340"/>
        </w:trPr>
        <w:tc>
          <w:tcPr>
            <w:tcW w:w="1476" w:type="dxa"/>
            <w:shd w:val="clear" w:color="auto" w:fill="D9D9D9" w:themeFill="background1" w:themeFillShade="D9"/>
            <w:vAlign w:val="center"/>
          </w:tcPr>
          <w:p w:rsidR="00BA1EE3" w:rsidRPr="00772C3A" w:rsidRDefault="00BA1EE3" w:rsidP="005B2B66">
            <w:pPr>
              <w:pStyle w:val="FA-Tableheading"/>
            </w:pPr>
            <w:r>
              <w:t>Task</w:t>
            </w:r>
          </w:p>
        </w:tc>
        <w:tc>
          <w:tcPr>
            <w:tcW w:w="1662" w:type="dxa"/>
            <w:shd w:val="clear" w:color="auto" w:fill="D9D9D9" w:themeFill="background1" w:themeFillShade="D9"/>
            <w:vAlign w:val="center"/>
          </w:tcPr>
          <w:p w:rsidR="00BA1EE3" w:rsidRPr="00772C3A" w:rsidRDefault="00BA1EE3" w:rsidP="005B2B66">
            <w:pPr>
              <w:pStyle w:val="FA-Tableheading"/>
            </w:pPr>
            <w:r>
              <w:t>Performance index</w:t>
            </w:r>
          </w:p>
        </w:tc>
        <w:tc>
          <w:tcPr>
            <w:tcW w:w="1558" w:type="dxa"/>
            <w:shd w:val="clear" w:color="auto" w:fill="D9D9D9" w:themeFill="background1" w:themeFillShade="D9"/>
            <w:vAlign w:val="center"/>
          </w:tcPr>
          <w:p w:rsidR="00BA1EE3" w:rsidRPr="00772C3A" w:rsidRDefault="00D96D85" w:rsidP="005B2B66">
            <w:pPr>
              <w:pStyle w:val="FA-Tableheading"/>
            </w:pPr>
            <w:r>
              <w:t>Flexibility</w:t>
            </w:r>
          </w:p>
        </w:tc>
        <w:tc>
          <w:tcPr>
            <w:tcW w:w="1558" w:type="dxa"/>
            <w:shd w:val="clear" w:color="auto" w:fill="D9D9D9" w:themeFill="background1" w:themeFillShade="D9"/>
            <w:vAlign w:val="center"/>
          </w:tcPr>
          <w:p w:rsidR="00BA1EE3" w:rsidRPr="00772C3A" w:rsidRDefault="00D96D85" w:rsidP="005B2B66">
            <w:pPr>
              <w:pStyle w:val="FA-Tableheading"/>
            </w:pPr>
            <w:r>
              <w:t>Rigidity</w:t>
            </w:r>
          </w:p>
        </w:tc>
        <w:tc>
          <w:tcPr>
            <w:tcW w:w="1216" w:type="dxa"/>
            <w:shd w:val="clear" w:color="auto" w:fill="D9D9D9" w:themeFill="background1" w:themeFillShade="D9"/>
            <w:vAlign w:val="center"/>
          </w:tcPr>
          <w:p w:rsidR="00BA1EE3" w:rsidRPr="00772C3A" w:rsidRDefault="00BA1EE3" w:rsidP="00BC253A">
            <w:pPr>
              <w:pStyle w:val="FA-Tableheading"/>
            </w:pPr>
            <w:r>
              <w:t>F</w:t>
            </w:r>
          </w:p>
        </w:tc>
        <w:tc>
          <w:tcPr>
            <w:tcW w:w="1250" w:type="dxa"/>
            <w:shd w:val="clear" w:color="auto" w:fill="D9D9D9" w:themeFill="background1" w:themeFillShade="D9"/>
            <w:vAlign w:val="center"/>
          </w:tcPr>
          <w:p w:rsidR="00BA1EE3" w:rsidRPr="00772C3A" w:rsidRDefault="00BA1EE3" w:rsidP="00685C6F">
            <w:pPr>
              <w:pStyle w:val="FA-Tableheading"/>
            </w:pPr>
            <w:r>
              <w:t>Significance level</w:t>
            </w:r>
          </w:p>
        </w:tc>
      </w:tr>
      <w:tr w:rsidR="00146906" w:rsidRPr="00772C3A" w:rsidTr="00BC253A">
        <w:trPr>
          <w:trHeight w:val="340"/>
        </w:trPr>
        <w:tc>
          <w:tcPr>
            <w:tcW w:w="1476" w:type="dxa"/>
            <w:vAlign w:val="center"/>
          </w:tcPr>
          <w:p w:rsidR="00146906" w:rsidRPr="00BA1EE3" w:rsidRDefault="00146906" w:rsidP="005B2B66">
            <w:pPr>
              <w:pStyle w:val="FA-Table"/>
              <w:rPr>
                <w:lang w:val="en-US"/>
              </w:rPr>
            </w:pPr>
            <w:r>
              <w:rPr>
                <w:lang w:val="en-US"/>
              </w:rPr>
              <w:t>Easy YN</w:t>
            </w:r>
          </w:p>
        </w:tc>
        <w:tc>
          <w:tcPr>
            <w:tcW w:w="1662" w:type="dxa"/>
            <w:vAlign w:val="center"/>
          </w:tcPr>
          <w:p w:rsidR="00146906" w:rsidRPr="00772C3A" w:rsidRDefault="00F74B55" w:rsidP="005B2B66">
            <w:pPr>
              <w:pStyle w:val="FA-Table"/>
            </w:pPr>
            <w:r>
              <w:t>Aˈ</w:t>
            </w:r>
          </w:p>
        </w:tc>
        <w:tc>
          <w:tcPr>
            <w:tcW w:w="1558" w:type="dxa"/>
            <w:vAlign w:val="center"/>
          </w:tcPr>
          <w:p w:rsidR="00146906" w:rsidRPr="00772C3A" w:rsidRDefault="00D96D85" w:rsidP="005B2B66">
            <w:pPr>
              <w:pStyle w:val="FA-Table"/>
            </w:pPr>
            <w:r>
              <w:t>0</w:t>
            </w:r>
            <w:r w:rsidR="00081258">
              <w:t>.</w:t>
            </w:r>
            <w:r>
              <w:t>847</w:t>
            </w:r>
          </w:p>
        </w:tc>
        <w:tc>
          <w:tcPr>
            <w:tcW w:w="1558" w:type="dxa"/>
            <w:vAlign w:val="center"/>
          </w:tcPr>
          <w:p w:rsidR="00146906" w:rsidRPr="00772C3A" w:rsidRDefault="00D96D85" w:rsidP="005B2B66">
            <w:pPr>
              <w:pStyle w:val="FA-Table"/>
            </w:pPr>
            <w:r>
              <w:t>0</w:t>
            </w:r>
            <w:r w:rsidR="00081258">
              <w:t>.</w:t>
            </w:r>
            <w:r>
              <w:t>768</w:t>
            </w:r>
          </w:p>
        </w:tc>
        <w:tc>
          <w:tcPr>
            <w:tcW w:w="1216" w:type="dxa"/>
            <w:vAlign w:val="center"/>
          </w:tcPr>
          <w:p w:rsidR="00146906" w:rsidRPr="00772C3A" w:rsidRDefault="00BC253A" w:rsidP="00BC253A">
            <w:pPr>
              <w:pStyle w:val="FA-Table"/>
            </w:pPr>
            <w:r>
              <w:t>6</w:t>
            </w:r>
            <w:r w:rsidR="00081258">
              <w:t>.</w:t>
            </w:r>
            <w:r>
              <w:t>420</w:t>
            </w:r>
          </w:p>
        </w:tc>
        <w:tc>
          <w:tcPr>
            <w:tcW w:w="1250" w:type="dxa"/>
            <w:vAlign w:val="center"/>
          </w:tcPr>
          <w:p w:rsidR="00146906" w:rsidRPr="00772C3A" w:rsidRDefault="00D96D85" w:rsidP="00685C6F">
            <w:pPr>
              <w:pStyle w:val="FA-Table"/>
            </w:pPr>
            <w:r>
              <w:t>0</w:t>
            </w:r>
            <w:r w:rsidR="00081258">
              <w:t>.</w:t>
            </w:r>
            <w:r>
              <w:t>013</w:t>
            </w:r>
          </w:p>
        </w:tc>
      </w:tr>
      <w:tr w:rsidR="00146906" w:rsidRPr="00772C3A" w:rsidTr="00BC253A">
        <w:trPr>
          <w:trHeight w:val="340"/>
        </w:trPr>
        <w:tc>
          <w:tcPr>
            <w:tcW w:w="1476" w:type="dxa"/>
            <w:vAlign w:val="center"/>
          </w:tcPr>
          <w:p w:rsidR="00146906" w:rsidRPr="00772C3A" w:rsidRDefault="00146906" w:rsidP="005B2B66">
            <w:pPr>
              <w:pStyle w:val="FA-Table"/>
            </w:pPr>
            <w:r>
              <w:t>Hard YN</w:t>
            </w:r>
          </w:p>
        </w:tc>
        <w:tc>
          <w:tcPr>
            <w:tcW w:w="1662" w:type="dxa"/>
            <w:vAlign w:val="center"/>
          </w:tcPr>
          <w:p w:rsidR="00146906" w:rsidRPr="00772C3A" w:rsidRDefault="00F74B55" w:rsidP="005B2B66">
            <w:pPr>
              <w:pStyle w:val="FA-Table"/>
            </w:pPr>
            <w:r>
              <w:t>Aˈ</w:t>
            </w:r>
          </w:p>
        </w:tc>
        <w:tc>
          <w:tcPr>
            <w:tcW w:w="1558" w:type="dxa"/>
            <w:vAlign w:val="center"/>
          </w:tcPr>
          <w:p w:rsidR="00146906" w:rsidRPr="00772C3A" w:rsidRDefault="00D96D85" w:rsidP="005B2B66">
            <w:pPr>
              <w:pStyle w:val="FA-Table"/>
            </w:pPr>
            <w:r>
              <w:t>0</w:t>
            </w:r>
            <w:r w:rsidR="00081258">
              <w:t>.</w:t>
            </w:r>
            <w:r>
              <w:t>811</w:t>
            </w:r>
          </w:p>
        </w:tc>
        <w:tc>
          <w:tcPr>
            <w:tcW w:w="1558" w:type="dxa"/>
            <w:vAlign w:val="center"/>
          </w:tcPr>
          <w:p w:rsidR="00146906" w:rsidRPr="00772C3A" w:rsidRDefault="00D96D85" w:rsidP="005B2B66">
            <w:pPr>
              <w:pStyle w:val="FA-Table"/>
            </w:pPr>
            <w:r>
              <w:t>0</w:t>
            </w:r>
            <w:r w:rsidR="00081258">
              <w:t>.</w:t>
            </w:r>
            <w:r>
              <w:t>739</w:t>
            </w:r>
          </w:p>
        </w:tc>
        <w:tc>
          <w:tcPr>
            <w:tcW w:w="1216" w:type="dxa"/>
            <w:vAlign w:val="center"/>
          </w:tcPr>
          <w:p w:rsidR="00146906" w:rsidRPr="00772C3A" w:rsidRDefault="00BC253A" w:rsidP="00BC253A">
            <w:pPr>
              <w:pStyle w:val="FA-Table"/>
            </w:pPr>
            <w:r>
              <w:t>4</w:t>
            </w:r>
            <w:r w:rsidR="00081258">
              <w:t>.</w:t>
            </w:r>
            <w:r>
              <w:t>728</w:t>
            </w:r>
          </w:p>
        </w:tc>
        <w:tc>
          <w:tcPr>
            <w:tcW w:w="1250" w:type="dxa"/>
            <w:vAlign w:val="center"/>
          </w:tcPr>
          <w:p w:rsidR="00146906" w:rsidRPr="00772C3A" w:rsidRDefault="00D96D85" w:rsidP="00685C6F">
            <w:pPr>
              <w:pStyle w:val="FA-Table"/>
            </w:pPr>
            <w:r>
              <w:t>0</w:t>
            </w:r>
            <w:r w:rsidR="00081258">
              <w:t>.</w:t>
            </w:r>
            <w:r>
              <w:t>033</w:t>
            </w:r>
          </w:p>
        </w:tc>
      </w:tr>
      <w:tr w:rsidR="00146906" w:rsidRPr="00772C3A" w:rsidTr="00BC253A">
        <w:trPr>
          <w:trHeight w:val="340"/>
        </w:trPr>
        <w:tc>
          <w:tcPr>
            <w:tcW w:w="1476" w:type="dxa"/>
            <w:vAlign w:val="center"/>
          </w:tcPr>
          <w:p w:rsidR="00146906" w:rsidRPr="00772C3A" w:rsidRDefault="00644ECB" w:rsidP="005B2B66">
            <w:pPr>
              <w:pStyle w:val="FA-Table"/>
            </w:pPr>
            <w:r>
              <w:t>Easy SD</w:t>
            </w:r>
          </w:p>
        </w:tc>
        <w:tc>
          <w:tcPr>
            <w:tcW w:w="1662" w:type="dxa"/>
            <w:vAlign w:val="center"/>
          </w:tcPr>
          <w:p w:rsidR="00146906" w:rsidRPr="00772C3A" w:rsidRDefault="00146906" w:rsidP="005B2B66">
            <w:pPr>
              <w:pStyle w:val="FA-Table"/>
            </w:pPr>
            <w:r>
              <w:t>Conf</w:t>
            </w:r>
          </w:p>
        </w:tc>
        <w:tc>
          <w:tcPr>
            <w:tcW w:w="1558" w:type="dxa"/>
            <w:vAlign w:val="center"/>
          </w:tcPr>
          <w:p w:rsidR="00146906" w:rsidRPr="00772C3A" w:rsidRDefault="00D96D85" w:rsidP="005B2B66">
            <w:pPr>
              <w:pStyle w:val="FA-Table"/>
            </w:pPr>
            <w:r>
              <w:t>0</w:t>
            </w:r>
            <w:r w:rsidR="00081258">
              <w:t>.</w:t>
            </w:r>
            <w:r>
              <w:t>840</w:t>
            </w:r>
          </w:p>
        </w:tc>
        <w:tc>
          <w:tcPr>
            <w:tcW w:w="1558" w:type="dxa"/>
            <w:vAlign w:val="center"/>
          </w:tcPr>
          <w:p w:rsidR="00146906" w:rsidRPr="00772C3A" w:rsidRDefault="00D96D85" w:rsidP="005B2B66">
            <w:pPr>
              <w:pStyle w:val="FA-Table"/>
            </w:pPr>
            <w:r>
              <w:t>0</w:t>
            </w:r>
            <w:r w:rsidR="00081258">
              <w:t>.</w:t>
            </w:r>
            <w:r>
              <w:t>883</w:t>
            </w:r>
          </w:p>
        </w:tc>
        <w:tc>
          <w:tcPr>
            <w:tcW w:w="1216" w:type="dxa"/>
            <w:vAlign w:val="center"/>
          </w:tcPr>
          <w:p w:rsidR="00146906" w:rsidRPr="00772C3A" w:rsidRDefault="00BC253A" w:rsidP="00BC253A">
            <w:pPr>
              <w:pStyle w:val="FA-Table"/>
            </w:pPr>
            <w:r>
              <w:t>3</w:t>
            </w:r>
            <w:r w:rsidR="00081258">
              <w:t>.</w:t>
            </w:r>
            <w:r>
              <w:t>109</w:t>
            </w:r>
          </w:p>
        </w:tc>
        <w:tc>
          <w:tcPr>
            <w:tcW w:w="1250" w:type="dxa"/>
            <w:vAlign w:val="center"/>
          </w:tcPr>
          <w:p w:rsidR="00146906" w:rsidRPr="00772C3A" w:rsidRDefault="00D96D85" w:rsidP="00685C6F">
            <w:pPr>
              <w:pStyle w:val="FA-Table"/>
            </w:pPr>
            <w:r>
              <w:t>0</w:t>
            </w:r>
            <w:r w:rsidR="00081258">
              <w:t>.</w:t>
            </w:r>
            <w:r>
              <w:t>081</w:t>
            </w:r>
          </w:p>
        </w:tc>
      </w:tr>
      <w:tr w:rsidR="00146906" w:rsidRPr="00772C3A" w:rsidTr="00BC253A">
        <w:trPr>
          <w:trHeight w:val="340"/>
        </w:trPr>
        <w:tc>
          <w:tcPr>
            <w:tcW w:w="1476" w:type="dxa"/>
            <w:vMerge w:val="restart"/>
            <w:vAlign w:val="center"/>
          </w:tcPr>
          <w:p w:rsidR="00146906" w:rsidRPr="00772C3A" w:rsidRDefault="00644ECB" w:rsidP="005B2B66">
            <w:pPr>
              <w:pStyle w:val="FA-Table"/>
            </w:pPr>
            <w:r>
              <w:t>Hard SD</w:t>
            </w:r>
          </w:p>
        </w:tc>
        <w:tc>
          <w:tcPr>
            <w:tcW w:w="1662" w:type="dxa"/>
            <w:vAlign w:val="center"/>
          </w:tcPr>
          <w:p w:rsidR="00146906" w:rsidRPr="00772C3A" w:rsidRDefault="00146906" w:rsidP="005B2B66">
            <w:pPr>
              <w:pStyle w:val="FA-Table"/>
            </w:pPr>
            <w:r>
              <w:t>RT</w:t>
            </w:r>
          </w:p>
        </w:tc>
        <w:tc>
          <w:tcPr>
            <w:tcW w:w="1558" w:type="dxa"/>
            <w:vAlign w:val="center"/>
          </w:tcPr>
          <w:p w:rsidR="00146906" w:rsidRPr="00772C3A" w:rsidRDefault="00D96D85" w:rsidP="005B2B66">
            <w:pPr>
              <w:pStyle w:val="FA-Table"/>
            </w:pPr>
            <w:r>
              <w:t>0</w:t>
            </w:r>
            <w:r w:rsidR="00081258">
              <w:t>.</w:t>
            </w:r>
            <w:r>
              <w:t>915</w:t>
            </w:r>
          </w:p>
        </w:tc>
        <w:tc>
          <w:tcPr>
            <w:tcW w:w="1558" w:type="dxa"/>
            <w:vAlign w:val="center"/>
          </w:tcPr>
          <w:p w:rsidR="00146906" w:rsidRPr="00772C3A" w:rsidRDefault="00D96D85" w:rsidP="005B2B66">
            <w:pPr>
              <w:pStyle w:val="FA-Table"/>
            </w:pPr>
            <w:r>
              <w:t>0</w:t>
            </w:r>
            <w:r w:rsidR="00081258">
              <w:t>.</w:t>
            </w:r>
            <w:r>
              <w:t>498</w:t>
            </w:r>
          </w:p>
        </w:tc>
        <w:tc>
          <w:tcPr>
            <w:tcW w:w="1216" w:type="dxa"/>
            <w:vAlign w:val="center"/>
          </w:tcPr>
          <w:p w:rsidR="00146906" w:rsidRPr="00772C3A" w:rsidRDefault="00BC253A" w:rsidP="00BC253A">
            <w:pPr>
              <w:pStyle w:val="FA-Table"/>
            </w:pPr>
            <w:r>
              <w:t>4</w:t>
            </w:r>
            <w:r w:rsidR="00081258">
              <w:t>.</w:t>
            </w:r>
            <w:r>
              <w:t>257</w:t>
            </w:r>
          </w:p>
        </w:tc>
        <w:tc>
          <w:tcPr>
            <w:tcW w:w="1250" w:type="dxa"/>
            <w:vAlign w:val="center"/>
          </w:tcPr>
          <w:p w:rsidR="00146906" w:rsidRPr="00772C3A" w:rsidRDefault="00D96D85" w:rsidP="00685C6F">
            <w:pPr>
              <w:pStyle w:val="FA-Table"/>
            </w:pPr>
            <w:r>
              <w:t>0</w:t>
            </w:r>
            <w:r w:rsidR="00081258">
              <w:t>.</w:t>
            </w:r>
            <w:r>
              <w:t>042</w:t>
            </w:r>
          </w:p>
        </w:tc>
      </w:tr>
      <w:tr w:rsidR="00146906" w:rsidRPr="00772C3A" w:rsidTr="00BC253A">
        <w:trPr>
          <w:trHeight w:val="340"/>
        </w:trPr>
        <w:tc>
          <w:tcPr>
            <w:tcW w:w="1476" w:type="dxa"/>
            <w:vMerge/>
            <w:vAlign w:val="center"/>
          </w:tcPr>
          <w:p w:rsidR="00146906" w:rsidRPr="00772C3A" w:rsidRDefault="00146906" w:rsidP="005B2B66">
            <w:pPr>
              <w:pStyle w:val="FA-Table"/>
            </w:pPr>
          </w:p>
        </w:tc>
        <w:tc>
          <w:tcPr>
            <w:tcW w:w="1662" w:type="dxa"/>
            <w:vAlign w:val="center"/>
          </w:tcPr>
          <w:p w:rsidR="00146906" w:rsidRPr="00772C3A" w:rsidRDefault="00146906" w:rsidP="005B2B66">
            <w:pPr>
              <w:pStyle w:val="FA-Table"/>
            </w:pPr>
            <w:r>
              <w:t>Conf</w:t>
            </w:r>
          </w:p>
        </w:tc>
        <w:tc>
          <w:tcPr>
            <w:tcW w:w="1558" w:type="dxa"/>
            <w:vAlign w:val="center"/>
          </w:tcPr>
          <w:p w:rsidR="00146906" w:rsidRPr="00772C3A" w:rsidRDefault="00D96D85" w:rsidP="005B2B66">
            <w:pPr>
              <w:pStyle w:val="FA-Table"/>
            </w:pPr>
            <w:r>
              <w:t>0</w:t>
            </w:r>
            <w:r w:rsidR="00081258">
              <w:t>.</w:t>
            </w:r>
            <w:r>
              <w:t>796</w:t>
            </w:r>
          </w:p>
        </w:tc>
        <w:tc>
          <w:tcPr>
            <w:tcW w:w="1558" w:type="dxa"/>
            <w:vAlign w:val="center"/>
          </w:tcPr>
          <w:p w:rsidR="00146906" w:rsidRPr="00772C3A" w:rsidRDefault="00D96D85" w:rsidP="005B2B66">
            <w:pPr>
              <w:pStyle w:val="FA-Table"/>
            </w:pPr>
            <w:r>
              <w:t>0</w:t>
            </w:r>
            <w:r w:rsidR="00081258">
              <w:t>.</w:t>
            </w:r>
            <w:r>
              <w:t>848</w:t>
            </w:r>
          </w:p>
        </w:tc>
        <w:tc>
          <w:tcPr>
            <w:tcW w:w="1216" w:type="dxa"/>
            <w:vAlign w:val="center"/>
          </w:tcPr>
          <w:p w:rsidR="00146906" w:rsidRPr="00772C3A" w:rsidRDefault="00BC253A" w:rsidP="00BC253A">
            <w:pPr>
              <w:pStyle w:val="FA-Table"/>
            </w:pPr>
            <w:r>
              <w:t>3</w:t>
            </w:r>
            <w:r w:rsidR="00081258">
              <w:t>.</w:t>
            </w:r>
            <w:r>
              <w:t>338</w:t>
            </w:r>
          </w:p>
        </w:tc>
        <w:tc>
          <w:tcPr>
            <w:tcW w:w="1250" w:type="dxa"/>
            <w:vAlign w:val="center"/>
          </w:tcPr>
          <w:p w:rsidR="00146906" w:rsidRPr="00772C3A" w:rsidRDefault="00D96D85" w:rsidP="00685C6F">
            <w:pPr>
              <w:pStyle w:val="FA-Table"/>
            </w:pPr>
            <w:r>
              <w:t>0</w:t>
            </w:r>
            <w:r w:rsidR="00081258">
              <w:t>.</w:t>
            </w:r>
            <w:r>
              <w:t>071</w:t>
            </w:r>
          </w:p>
        </w:tc>
      </w:tr>
    </w:tbl>
    <w:p w:rsidR="00BA1EE3" w:rsidRDefault="00BA1EE3" w:rsidP="007A75DE">
      <w:pPr>
        <w:pStyle w:val="FA-Paragraphtext"/>
      </w:pPr>
    </w:p>
    <w:p w:rsidR="00BA1EE3" w:rsidRPr="00772C3A" w:rsidRDefault="00685C6F" w:rsidP="00BA1EE3">
      <w:pPr>
        <w:pStyle w:val="FA-Tnumbers"/>
      </w:pPr>
      <w:r>
        <w:t>Equivalence range</w:t>
      </w:r>
      <w:r w:rsidR="00CE34CC">
        <w:t xml:space="preserve"> and psychophysical tasks performance</w:t>
      </w:r>
    </w:p>
    <w:tbl>
      <w:tblPr>
        <w:tblStyle w:val="a8"/>
        <w:tblW w:w="0" w:type="auto"/>
        <w:tblLook w:val="04A0"/>
      </w:tblPr>
      <w:tblGrid>
        <w:gridCol w:w="1476"/>
        <w:gridCol w:w="1662"/>
        <w:gridCol w:w="1558"/>
        <w:gridCol w:w="1558"/>
        <w:gridCol w:w="1216"/>
        <w:gridCol w:w="1250"/>
      </w:tblGrid>
      <w:tr w:rsidR="00BA1EE3" w:rsidRPr="00772C3A" w:rsidTr="00BC253A">
        <w:trPr>
          <w:trHeight w:val="340"/>
        </w:trPr>
        <w:tc>
          <w:tcPr>
            <w:tcW w:w="1476" w:type="dxa"/>
            <w:shd w:val="clear" w:color="auto" w:fill="D9D9D9" w:themeFill="background1" w:themeFillShade="D9"/>
            <w:vAlign w:val="center"/>
          </w:tcPr>
          <w:p w:rsidR="00BA1EE3" w:rsidRPr="00772C3A" w:rsidRDefault="00BA1EE3" w:rsidP="005B2B66">
            <w:pPr>
              <w:pStyle w:val="FA-Tableheading"/>
            </w:pPr>
            <w:r>
              <w:lastRenderedPageBreak/>
              <w:t>Task</w:t>
            </w:r>
          </w:p>
        </w:tc>
        <w:tc>
          <w:tcPr>
            <w:tcW w:w="1662" w:type="dxa"/>
            <w:shd w:val="clear" w:color="auto" w:fill="D9D9D9" w:themeFill="background1" w:themeFillShade="D9"/>
            <w:vAlign w:val="center"/>
          </w:tcPr>
          <w:p w:rsidR="00BA1EE3" w:rsidRPr="00772C3A" w:rsidRDefault="00BA1EE3" w:rsidP="005B2B66">
            <w:pPr>
              <w:pStyle w:val="FA-Tableheading"/>
            </w:pPr>
            <w:r>
              <w:t>Performance index</w:t>
            </w:r>
          </w:p>
        </w:tc>
        <w:tc>
          <w:tcPr>
            <w:tcW w:w="1558" w:type="dxa"/>
            <w:shd w:val="clear" w:color="auto" w:fill="D9D9D9" w:themeFill="background1" w:themeFillShade="D9"/>
            <w:vAlign w:val="center"/>
          </w:tcPr>
          <w:p w:rsidR="00BA1EE3" w:rsidRPr="00772C3A" w:rsidRDefault="00D96D85" w:rsidP="005B2B66">
            <w:pPr>
              <w:pStyle w:val="FA-Tableheading"/>
            </w:pPr>
            <w:r>
              <w:t>Narrow equivalence range</w:t>
            </w:r>
          </w:p>
        </w:tc>
        <w:tc>
          <w:tcPr>
            <w:tcW w:w="1558" w:type="dxa"/>
            <w:shd w:val="clear" w:color="auto" w:fill="D9D9D9" w:themeFill="background1" w:themeFillShade="D9"/>
            <w:vAlign w:val="center"/>
          </w:tcPr>
          <w:p w:rsidR="00BA1EE3" w:rsidRPr="00772C3A" w:rsidRDefault="00D96D85" w:rsidP="005B2B66">
            <w:pPr>
              <w:pStyle w:val="FA-Tableheading"/>
            </w:pPr>
            <w:r>
              <w:t>Broad equivalence range</w:t>
            </w:r>
          </w:p>
        </w:tc>
        <w:tc>
          <w:tcPr>
            <w:tcW w:w="1216" w:type="dxa"/>
            <w:shd w:val="clear" w:color="auto" w:fill="D9D9D9" w:themeFill="background1" w:themeFillShade="D9"/>
            <w:vAlign w:val="center"/>
          </w:tcPr>
          <w:p w:rsidR="00BA1EE3" w:rsidRPr="00772C3A" w:rsidRDefault="00BA1EE3" w:rsidP="00BC253A">
            <w:pPr>
              <w:pStyle w:val="FA-Tableheading"/>
            </w:pPr>
            <w:r>
              <w:t>F</w:t>
            </w:r>
          </w:p>
        </w:tc>
        <w:tc>
          <w:tcPr>
            <w:tcW w:w="1250" w:type="dxa"/>
            <w:shd w:val="clear" w:color="auto" w:fill="D9D9D9" w:themeFill="background1" w:themeFillShade="D9"/>
            <w:vAlign w:val="center"/>
          </w:tcPr>
          <w:p w:rsidR="00BA1EE3" w:rsidRPr="00772C3A" w:rsidRDefault="00BA1EE3" w:rsidP="00685C6F">
            <w:pPr>
              <w:pStyle w:val="FA-Tableheading"/>
            </w:pPr>
            <w:r>
              <w:t>Significance level</w:t>
            </w:r>
          </w:p>
        </w:tc>
      </w:tr>
      <w:tr w:rsidR="00146906" w:rsidRPr="00772C3A" w:rsidTr="00BC253A">
        <w:trPr>
          <w:trHeight w:val="340"/>
        </w:trPr>
        <w:tc>
          <w:tcPr>
            <w:tcW w:w="1476" w:type="dxa"/>
            <w:vAlign w:val="center"/>
          </w:tcPr>
          <w:p w:rsidR="00146906" w:rsidRPr="00772C3A" w:rsidRDefault="004F5803" w:rsidP="005B2B66">
            <w:pPr>
              <w:pStyle w:val="FA-Table"/>
            </w:pPr>
            <w:r>
              <w:t>Easy SD</w:t>
            </w:r>
          </w:p>
        </w:tc>
        <w:tc>
          <w:tcPr>
            <w:tcW w:w="1662" w:type="dxa"/>
            <w:vAlign w:val="center"/>
          </w:tcPr>
          <w:p w:rsidR="00146906" w:rsidRPr="00772C3A" w:rsidRDefault="00146906" w:rsidP="005B2B66">
            <w:pPr>
              <w:pStyle w:val="FA-Table"/>
            </w:pPr>
            <w:r>
              <w:t>Conf</w:t>
            </w:r>
          </w:p>
        </w:tc>
        <w:tc>
          <w:tcPr>
            <w:tcW w:w="1558" w:type="dxa"/>
            <w:vAlign w:val="center"/>
          </w:tcPr>
          <w:p w:rsidR="00146906" w:rsidRPr="00772C3A" w:rsidRDefault="00D96D85" w:rsidP="005B2B66">
            <w:pPr>
              <w:pStyle w:val="FA-Table"/>
            </w:pPr>
            <w:r>
              <w:t>0</w:t>
            </w:r>
            <w:r w:rsidR="00081258">
              <w:t>.</w:t>
            </w:r>
            <w:r>
              <w:t>882</w:t>
            </w:r>
          </w:p>
        </w:tc>
        <w:tc>
          <w:tcPr>
            <w:tcW w:w="1558" w:type="dxa"/>
            <w:vAlign w:val="center"/>
          </w:tcPr>
          <w:p w:rsidR="00146906" w:rsidRPr="00772C3A" w:rsidRDefault="00D96D85" w:rsidP="005B2B66">
            <w:pPr>
              <w:pStyle w:val="FA-Table"/>
            </w:pPr>
            <w:r>
              <w:t>0</w:t>
            </w:r>
            <w:r w:rsidR="00081258">
              <w:t>.</w:t>
            </w:r>
            <w:r>
              <w:t>830</w:t>
            </w:r>
          </w:p>
        </w:tc>
        <w:tc>
          <w:tcPr>
            <w:tcW w:w="1216" w:type="dxa"/>
            <w:vAlign w:val="center"/>
          </w:tcPr>
          <w:p w:rsidR="00146906" w:rsidRPr="00772C3A" w:rsidRDefault="00BC253A" w:rsidP="00BC253A">
            <w:pPr>
              <w:pStyle w:val="FA-Table"/>
            </w:pPr>
            <w:r>
              <w:t>4</w:t>
            </w:r>
            <w:r w:rsidR="00081258">
              <w:t>.</w:t>
            </w:r>
            <w:r>
              <w:t>224</w:t>
            </w:r>
          </w:p>
        </w:tc>
        <w:tc>
          <w:tcPr>
            <w:tcW w:w="1250" w:type="dxa"/>
            <w:vAlign w:val="center"/>
          </w:tcPr>
          <w:p w:rsidR="00146906" w:rsidRPr="00772C3A" w:rsidRDefault="00D96D85" w:rsidP="00685C6F">
            <w:pPr>
              <w:pStyle w:val="FA-Table"/>
            </w:pPr>
            <w:r>
              <w:t>0</w:t>
            </w:r>
            <w:r w:rsidR="00081258">
              <w:t>.</w:t>
            </w:r>
            <w:r>
              <w:t>043</w:t>
            </w:r>
          </w:p>
        </w:tc>
      </w:tr>
      <w:tr w:rsidR="00146906" w:rsidRPr="00772C3A" w:rsidTr="00BC253A">
        <w:trPr>
          <w:trHeight w:val="340"/>
        </w:trPr>
        <w:tc>
          <w:tcPr>
            <w:tcW w:w="1476" w:type="dxa"/>
            <w:vAlign w:val="center"/>
          </w:tcPr>
          <w:p w:rsidR="00146906" w:rsidRPr="00772C3A" w:rsidRDefault="004F5803" w:rsidP="005B2B66">
            <w:pPr>
              <w:pStyle w:val="FA-Table"/>
            </w:pPr>
            <w:r>
              <w:t>Hard SD</w:t>
            </w:r>
          </w:p>
        </w:tc>
        <w:tc>
          <w:tcPr>
            <w:tcW w:w="1662" w:type="dxa"/>
            <w:vAlign w:val="center"/>
          </w:tcPr>
          <w:p w:rsidR="00146906" w:rsidRPr="00772C3A" w:rsidRDefault="00146906" w:rsidP="005B2B66">
            <w:pPr>
              <w:pStyle w:val="FA-Table"/>
            </w:pPr>
            <w:r>
              <w:t>Conf</w:t>
            </w:r>
          </w:p>
        </w:tc>
        <w:tc>
          <w:tcPr>
            <w:tcW w:w="1558" w:type="dxa"/>
            <w:vAlign w:val="center"/>
          </w:tcPr>
          <w:p w:rsidR="00146906" w:rsidRPr="00772C3A" w:rsidRDefault="00D96D85" w:rsidP="005B2B66">
            <w:pPr>
              <w:pStyle w:val="FA-Table"/>
            </w:pPr>
            <w:r>
              <w:t>0</w:t>
            </w:r>
            <w:r w:rsidR="00081258">
              <w:t>.</w:t>
            </w:r>
            <w:r>
              <w:t>850</w:t>
            </w:r>
          </w:p>
        </w:tc>
        <w:tc>
          <w:tcPr>
            <w:tcW w:w="1558" w:type="dxa"/>
            <w:vAlign w:val="center"/>
          </w:tcPr>
          <w:p w:rsidR="00146906" w:rsidRPr="00772C3A" w:rsidRDefault="00D96D85" w:rsidP="005B2B66">
            <w:pPr>
              <w:pStyle w:val="FA-Table"/>
            </w:pPr>
            <w:r>
              <w:t>0</w:t>
            </w:r>
            <w:r w:rsidR="00081258">
              <w:t>.</w:t>
            </w:r>
            <w:r>
              <w:t>780</w:t>
            </w:r>
          </w:p>
        </w:tc>
        <w:tc>
          <w:tcPr>
            <w:tcW w:w="1216" w:type="dxa"/>
            <w:vAlign w:val="center"/>
          </w:tcPr>
          <w:p w:rsidR="00146906" w:rsidRPr="00772C3A" w:rsidRDefault="00BC253A" w:rsidP="00BC253A">
            <w:pPr>
              <w:pStyle w:val="FA-Table"/>
            </w:pPr>
            <w:r>
              <w:t>5</w:t>
            </w:r>
            <w:r w:rsidR="00081258">
              <w:t>.</w:t>
            </w:r>
            <w:r>
              <w:t>847</w:t>
            </w:r>
          </w:p>
        </w:tc>
        <w:tc>
          <w:tcPr>
            <w:tcW w:w="1250" w:type="dxa"/>
            <w:vAlign w:val="center"/>
          </w:tcPr>
          <w:p w:rsidR="00146906" w:rsidRPr="00772C3A" w:rsidRDefault="00D96D85" w:rsidP="00685C6F">
            <w:pPr>
              <w:pStyle w:val="FA-Table"/>
            </w:pPr>
            <w:r>
              <w:t>0</w:t>
            </w:r>
            <w:r w:rsidR="00081258">
              <w:t>.</w:t>
            </w:r>
            <w:r>
              <w:t>018</w:t>
            </w:r>
          </w:p>
        </w:tc>
      </w:tr>
    </w:tbl>
    <w:p w:rsidR="00BA1EE3" w:rsidRDefault="00BA1EE3" w:rsidP="007A75DE">
      <w:pPr>
        <w:pStyle w:val="FA-Paragraphtext"/>
      </w:pPr>
    </w:p>
    <w:p w:rsidR="00146906" w:rsidRPr="00772C3A" w:rsidRDefault="00685C6F" w:rsidP="00146906">
      <w:pPr>
        <w:pStyle w:val="FA-Tnumbers"/>
      </w:pPr>
      <w:r>
        <w:t>Focusing-scanning</w:t>
      </w:r>
      <w:r w:rsidR="00CE34CC">
        <w:t xml:space="preserve"> and psychophysical tasks performance</w:t>
      </w:r>
    </w:p>
    <w:tbl>
      <w:tblPr>
        <w:tblStyle w:val="a8"/>
        <w:tblW w:w="0" w:type="auto"/>
        <w:tblLook w:val="04A0"/>
      </w:tblPr>
      <w:tblGrid>
        <w:gridCol w:w="1476"/>
        <w:gridCol w:w="1662"/>
        <w:gridCol w:w="1558"/>
        <w:gridCol w:w="1558"/>
        <w:gridCol w:w="1216"/>
        <w:gridCol w:w="1250"/>
      </w:tblGrid>
      <w:tr w:rsidR="00146906" w:rsidRPr="00772C3A" w:rsidTr="00BC253A">
        <w:trPr>
          <w:trHeight w:val="340"/>
        </w:trPr>
        <w:tc>
          <w:tcPr>
            <w:tcW w:w="1476" w:type="dxa"/>
            <w:shd w:val="clear" w:color="auto" w:fill="D9D9D9" w:themeFill="background1" w:themeFillShade="D9"/>
            <w:vAlign w:val="center"/>
          </w:tcPr>
          <w:p w:rsidR="00146906" w:rsidRPr="00772C3A" w:rsidRDefault="00146906" w:rsidP="005B2B66">
            <w:pPr>
              <w:pStyle w:val="FA-Tableheading"/>
            </w:pPr>
            <w:r>
              <w:t>Task</w:t>
            </w:r>
          </w:p>
        </w:tc>
        <w:tc>
          <w:tcPr>
            <w:tcW w:w="1662" w:type="dxa"/>
            <w:shd w:val="clear" w:color="auto" w:fill="D9D9D9" w:themeFill="background1" w:themeFillShade="D9"/>
            <w:vAlign w:val="center"/>
          </w:tcPr>
          <w:p w:rsidR="00146906" w:rsidRPr="00772C3A" w:rsidRDefault="00146906" w:rsidP="005B2B66">
            <w:pPr>
              <w:pStyle w:val="FA-Tableheading"/>
            </w:pPr>
            <w:r>
              <w:t>Performance index</w:t>
            </w:r>
          </w:p>
        </w:tc>
        <w:tc>
          <w:tcPr>
            <w:tcW w:w="1558" w:type="dxa"/>
            <w:shd w:val="clear" w:color="auto" w:fill="D9D9D9" w:themeFill="background1" w:themeFillShade="D9"/>
            <w:vAlign w:val="center"/>
          </w:tcPr>
          <w:p w:rsidR="00146906" w:rsidRPr="00772C3A" w:rsidRDefault="00146906" w:rsidP="005B2B66">
            <w:pPr>
              <w:pStyle w:val="FA-Tableheading"/>
            </w:pPr>
            <w:r w:rsidRPr="00772C3A">
              <w:t>Column Heading</w:t>
            </w:r>
          </w:p>
        </w:tc>
        <w:tc>
          <w:tcPr>
            <w:tcW w:w="1558" w:type="dxa"/>
            <w:shd w:val="clear" w:color="auto" w:fill="D9D9D9" w:themeFill="background1" w:themeFillShade="D9"/>
            <w:vAlign w:val="center"/>
          </w:tcPr>
          <w:p w:rsidR="00146906" w:rsidRPr="00772C3A" w:rsidRDefault="00146906" w:rsidP="005B2B66">
            <w:pPr>
              <w:pStyle w:val="FA-Tableheading"/>
            </w:pPr>
            <w:r w:rsidRPr="00772C3A">
              <w:t>Column Heading</w:t>
            </w:r>
          </w:p>
        </w:tc>
        <w:tc>
          <w:tcPr>
            <w:tcW w:w="1216" w:type="dxa"/>
            <w:shd w:val="clear" w:color="auto" w:fill="D9D9D9" w:themeFill="background1" w:themeFillShade="D9"/>
            <w:vAlign w:val="center"/>
          </w:tcPr>
          <w:p w:rsidR="00146906" w:rsidRPr="00772C3A" w:rsidRDefault="00146906" w:rsidP="00BC253A">
            <w:pPr>
              <w:pStyle w:val="FA-Tableheading"/>
            </w:pPr>
            <w:r>
              <w:t>F</w:t>
            </w:r>
          </w:p>
        </w:tc>
        <w:tc>
          <w:tcPr>
            <w:tcW w:w="1250" w:type="dxa"/>
            <w:shd w:val="clear" w:color="auto" w:fill="D9D9D9" w:themeFill="background1" w:themeFillShade="D9"/>
            <w:vAlign w:val="center"/>
          </w:tcPr>
          <w:p w:rsidR="00146906" w:rsidRPr="00772C3A" w:rsidRDefault="00146906" w:rsidP="00685C6F">
            <w:pPr>
              <w:pStyle w:val="FA-Tableheading"/>
            </w:pPr>
            <w:r>
              <w:t>Significance level</w:t>
            </w:r>
          </w:p>
        </w:tc>
      </w:tr>
      <w:tr w:rsidR="00146906" w:rsidRPr="00772C3A" w:rsidTr="00BC253A">
        <w:trPr>
          <w:trHeight w:val="340"/>
        </w:trPr>
        <w:tc>
          <w:tcPr>
            <w:tcW w:w="1476" w:type="dxa"/>
            <w:vAlign w:val="center"/>
          </w:tcPr>
          <w:p w:rsidR="00146906" w:rsidRPr="00BA1EE3" w:rsidRDefault="00146906" w:rsidP="005B2B66">
            <w:pPr>
              <w:pStyle w:val="FA-Table"/>
              <w:rPr>
                <w:lang w:val="en-US"/>
              </w:rPr>
            </w:pPr>
            <w:r>
              <w:rPr>
                <w:lang w:val="en-US"/>
              </w:rPr>
              <w:t>Easy YN</w:t>
            </w:r>
          </w:p>
        </w:tc>
        <w:tc>
          <w:tcPr>
            <w:tcW w:w="1662" w:type="dxa"/>
            <w:vAlign w:val="center"/>
          </w:tcPr>
          <w:p w:rsidR="00146906" w:rsidRPr="00772C3A" w:rsidRDefault="00F74B55" w:rsidP="005B2B66">
            <w:pPr>
              <w:pStyle w:val="FA-Table"/>
            </w:pPr>
            <w:r>
              <w:t>Aˈ</w:t>
            </w:r>
          </w:p>
        </w:tc>
        <w:tc>
          <w:tcPr>
            <w:tcW w:w="1558" w:type="dxa"/>
            <w:vAlign w:val="center"/>
          </w:tcPr>
          <w:p w:rsidR="00146906" w:rsidRPr="00772C3A" w:rsidRDefault="00646153" w:rsidP="005B2B66">
            <w:pPr>
              <w:pStyle w:val="FA-Table"/>
            </w:pPr>
            <w:r>
              <w:t>0</w:t>
            </w:r>
            <w:r w:rsidR="00081258">
              <w:t>.</w:t>
            </w:r>
            <w:r>
              <w:t>777</w:t>
            </w:r>
          </w:p>
        </w:tc>
        <w:tc>
          <w:tcPr>
            <w:tcW w:w="1558" w:type="dxa"/>
            <w:vAlign w:val="center"/>
          </w:tcPr>
          <w:p w:rsidR="00146906" w:rsidRPr="00772C3A" w:rsidRDefault="00646153" w:rsidP="005B2B66">
            <w:pPr>
              <w:pStyle w:val="FA-Table"/>
            </w:pPr>
            <w:r>
              <w:t>0</w:t>
            </w:r>
            <w:r w:rsidR="00081258">
              <w:t>.</w:t>
            </w:r>
            <w:r>
              <w:t>842</w:t>
            </w:r>
          </w:p>
        </w:tc>
        <w:tc>
          <w:tcPr>
            <w:tcW w:w="1216" w:type="dxa"/>
            <w:vAlign w:val="center"/>
          </w:tcPr>
          <w:p w:rsidR="00146906" w:rsidRPr="00772C3A" w:rsidRDefault="00BC253A" w:rsidP="00BC253A">
            <w:pPr>
              <w:pStyle w:val="FA-Table"/>
            </w:pPr>
            <w:r>
              <w:t>4</w:t>
            </w:r>
            <w:r w:rsidR="00081258">
              <w:t>.</w:t>
            </w:r>
            <w:r>
              <w:t>309</w:t>
            </w:r>
          </w:p>
        </w:tc>
        <w:tc>
          <w:tcPr>
            <w:tcW w:w="1250" w:type="dxa"/>
            <w:vAlign w:val="center"/>
          </w:tcPr>
          <w:p w:rsidR="00146906" w:rsidRPr="00772C3A" w:rsidRDefault="00646153" w:rsidP="00685C6F">
            <w:pPr>
              <w:pStyle w:val="FA-Table"/>
            </w:pPr>
            <w:r>
              <w:t>0</w:t>
            </w:r>
            <w:r w:rsidR="00081258">
              <w:t>.</w:t>
            </w:r>
            <w:r>
              <w:t>041</w:t>
            </w:r>
          </w:p>
        </w:tc>
      </w:tr>
      <w:tr w:rsidR="00146906" w:rsidRPr="00772C3A" w:rsidTr="00BC253A">
        <w:trPr>
          <w:trHeight w:val="340"/>
        </w:trPr>
        <w:tc>
          <w:tcPr>
            <w:tcW w:w="1476" w:type="dxa"/>
            <w:vAlign w:val="center"/>
          </w:tcPr>
          <w:p w:rsidR="00146906" w:rsidRPr="00772C3A" w:rsidRDefault="00146906" w:rsidP="005B2B66">
            <w:pPr>
              <w:pStyle w:val="FA-Table"/>
            </w:pPr>
            <w:r>
              <w:t>Hard YN</w:t>
            </w:r>
          </w:p>
        </w:tc>
        <w:tc>
          <w:tcPr>
            <w:tcW w:w="1662" w:type="dxa"/>
            <w:vAlign w:val="center"/>
          </w:tcPr>
          <w:p w:rsidR="00146906" w:rsidRPr="00772C3A" w:rsidRDefault="00F74B55" w:rsidP="005B2B66">
            <w:pPr>
              <w:pStyle w:val="FA-Table"/>
            </w:pPr>
            <w:r>
              <w:t>Aˈ</w:t>
            </w:r>
          </w:p>
        </w:tc>
        <w:tc>
          <w:tcPr>
            <w:tcW w:w="1558" w:type="dxa"/>
            <w:vAlign w:val="center"/>
          </w:tcPr>
          <w:p w:rsidR="00146906" w:rsidRPr="00772C3A" w:rsidRDefault="006F5AB4" w:rsidP="005B2B66">
            <w:pPr>
              <w:pStyle w:val="FA-Table"/>
            </w:pPr>
            <w:r>
              <w:t>0</w:t>
            </w:r>
            <w:r w:rsidR="00081258">
              <w:t>.</w:t>
            </w:r>
            <w:r>
              <w:t>740</w:t>
            </w:r>
          </w:p>
        </w:tc>
        <w:tc>
          <w:tcPr>
            <w:tcW w:w="1558" w:type="dxa"/>
            <w:vAlign w:val="center"/>
          </w:tcPr>
          <w:p w:rsidR="00146906" w:rsidRPr="00772C3A" w:rsidRDefault="006F5AB4" w:rsidP="005B2B66">
            <w:pPr>
              <w:pStyle w:val="FA-Table"/>
            </w:pPr>
            <w:r>
              <w:t>0</w:t>
            </w:r>
            <w:r w:rsidR="00081258">
              <w:t>.</w:t>
            </w:r>
            <w:r>
              <w:t>814</w:t>
            </w:r>
          </w:p>
        </w:tc>
        <w:tc>
          <w:tcPr>
            <w:tcW w:w="1216" w:type="dxa"/>
            <w:vAlign w:val="center"/>
          </w:tcPr>
          <w:p w:rsidR="00146906" w:rsidRPr="00772C3A" w:rsidRDefault="00BC253A" w:rsidP="00BC253A">
            <w:pPr>
              <w:pStyle w:val="FA-Table"/>
            </w:pPr>
            <w:r>
              <w:t>5</w:t>
            </w:r>
            <w:r w:rsidR="00081258">
              <w:t>.</w:t>
            </w:r>
            <w:r>
              <w:t>158</w:t>
            </w:r>
          </w:p>
        </w:tc>
        <w:tc>
          <w:tcPr>
            <w:tcW w:w="1250" w:type="dxa"/>
            <w:vAlign w:val="center"/>
          </w:tcPr>
          <w:p w:rsidR="00146906" w:rsidRPr="00772C3A" w:rsidRDefault="006F5AB4" w:rsidP="00685C6F">
            <w:pPr>
              <w:pStyle w:val="FA-Table"/>
            </w:pPr>
            <w:r>
              <w:t>0</w:t>
            </w:r>
            <w:r w:rsidR="00081258">
              <w:t>.</w:t>
            </w:r>
            <w:r>
              <w:t>026</w:t>
            </w:r>
          </w:p>
        </w:tc>
      </w:tr>
      <w:tr w:rsidR="00146906" w:rsidRPr="00772C3A" w:rsidTr="00BC253A">
        <w:trPr>
          <w:trHeight w:val="340"/>
        </w:trPr>
        <w:tc>
          <w:tcPr>
            <w:tcW w:w="1476" w:type="dxa"/>
            <w:vAlign w:val="center"/>
          </w:tcPr>
          <w:p w:rsidR="00146906" w:rsidRPr="00772C3A" w:rsidRDefault="00D9066B" w:rsidP="005B2B66">
            <w:pPr>
              <w:pStyle w:val="FA-Table"/>
            </w:pPr>
            <w:r>
              <w:t>Hard SD</w:t>
            </w:r>
          </w:p>
        </w:tc>
        <w:tc>
          <w:tcPr>
            <w:tcW w:w="1662" w:type="dxa"/>
            <w:vAlign w:val="center"/>
          </w:tcPr>
          <w:p w:rsidR="00146906" w:rsidRPr="00772C3A" w:rsidRDefault="00146906" w:rsidP="005B2B66">
            <w:pPr>
              <w:pStyle w:val="FA-Table"/>
            </w:pPr>
            <w:r>
              <w:t>Conf</w:t>
            </w:r>
          </w:p>
        </w:tc>
        <w:tc>
          <w:tcPr>
            <w:tcW w:w="1558" w:type="dxa"/>
            <w:vAlign w:val="center"/>
          </w:tcPr>
          <w:p w:rsidR="00146906" w:rsidRPr="00772C3A" w:rsidRDefault="006F5AB4" w:rsidP="005B2B66">
            <w:pPr>
              <w:pStyle w:val="FA-Table"/>
            </w:pPr>
            <w:r>
              <w:t>0</w:t>
            </w:r>
            <w:r w:rsidR="00081258">
              <w:t>.</w:t>
            </w:r>
            <w:r>
              <w:t>856</w:t>
            </w:r>
          </w:p>
        </w:tc>
        <w:tc>
          <w:tcPr>
            <w:tcW w:w="1558" w:type="dxa"/>
            <w:vAlign w:val="center"/>
          </w:tcPr>
          <w:p w:rsidR="00146906" w:rsidRPr="00772C3A" w:rsidRDefault="006F5AB4" w:rsidP="005B2B66">
            <w:pPr>
              <w:pStyle w:val="FA-Table"/>
            </w:pPr>
            <w:r>
              <w:t>0</w:t>
            </w:r>
            <w:r w:rsidR="00081258">
              <w:t>.</w:t>
            </w:r>
            <w:r>
              <w:t>790</w:t>
            </w:r>
          </w:p>
        </w:tc>
        <w:tc>
          <w:tcPr>
            <w:tcW w:w="1216" w:type="dxa"/>
            <w:vAlign w:val="center"/>
          </w:tcPr>
          <w:p w:rsidR="00146906" w:rsidRPr="00772C3A" w:rsidRDefault="00BC253A" w:rsidP="00BC253A">
            <w:pPr>
              <w:pStyle w:val="FA-Table"/>
            </w:pPr>
            <w:r>
              <w:t>5</w:t>
            </w:r>
            <w:r w:rsidR="00081258">
              <w:t>.</w:t>
            </w:r>
            <w:r>
              <w:t>511</w:t>
            </w:r>
          </w:p>
        </w:tc>
        <w:tc>
          <w:tcPr>
            <w:tcW w:w="1250" w:type="dxa"/>
            <w:vAlign w:val="center"/>
          </w:tcPr>
          <w:p w:rsidR="00146906" w:rsidRPr="00772C3A" w:rsidRDefault="006F5AB4" w:rsidP="00685C6F">
            <w:pPr>
              <w:pStyle w:val="FA-Table"/>
            </w:pPr>
            <w:r>
              <w:t>0</w:t>
            </w:r>
            <w:r w:rsidR="00081258">
              <w:t>.</w:t>
            </w:r>
            <w:r>
              <w:t>021</w:t>
            </w:r>
          </w:p>
        </w:tc>
      </w:tr>
      <w:permEnd w:id="12"/>
    </w:tbl>
    <w:p w:rsidR="007A75DE" w:rsidRPr="00772C3A" w:rsidRDefault="007A75DE" w:rsidP="00AF1B7B">
      <w:pPr>
        <w:pStyle w:val="FA-Paragraphtext"/>
      </w:pPr>
    </w:p>
    <w:p w:rsidR="00E768AA" w:rsidRPr="00772C3A" w:rsidRDefault="00E768AA" w:rsidP="007A75DE">
      <w:pPr>
        <w:pStyle w:val="FA-Break"/>
      </w:pPr>
    </w:p>
    <w:p w:rsidR="00E768AA" w:rsidRPr="00772C3A" w:rsidRDefault="00E768AA" w:rsidP="007A75DE">
      <w:pPr>
        <w:pStyle w:val="FA-MainHeader"/>
      </w:pPr>
      <w:r w:rsidRPr="00772C3A">
        <w:t>Conclusion</w:t>
      </w:r>
    </w:p>
    <w:p w:rsidR="00E6556D" w:rsidRDefault="00E6556D" w:rsidP="004D153C">
      <w:pPr>
        <w:pStyle w:val="FA-Paragraphtext"/>
      </w:pPr>
      <w:permStart w:id="13" w:edGrp="everyone"/>
      <w:r>
        <w:t xml:space="preserve">To conclude, our approach allows </w:t>
      </w:r>
      <w:r w:rsidR="00372643">
        <w:t>consideringboth subject’s</w:t>
      </w:r>
      <w:r>
        <w:t xml:space="preserve"> activity (CS) and stimulus factors (task type and uncertainty level), determining observer’s performance.</w:t>
      </w:r>
    </w:p>
    <w:p w:rsidR="007A75DE" w:rsidRDefault="00E6556D" w:rsidP="00E6556D">
      <w:pPr>
        <w:pStyle w:val="FA-Paragraphtext"/>
      </w:pPr>
      <w:r>
        <w:t>The results are crucial in the light of the controversial issue of style value (Zhang et al., 2012). We believe that each style is related to its own benefits and advantages</w:t>
      </w:r>
      <w:bookmarkStart w:id="0" w:name="_GoBack"/>
      <w:bookmarkEnd w:id="0"/>
      <w:r>
        <w:t xml:space="preserve"> — for instance, either accuracy or speed of performing a task. Neither of style groups should be considered as more or less effective in general; they rather may or may not correspond to the certain conditions and demands in solving the particular cognitive task. However, we stress once again that the same final efficiency could be associated with different resource costs, and furthermore could be achieved in different ways or manners.</w:t>
      </w:r>
    </w:p>
    <w:p w:rsidR="007A75DE" w:rsidRPr="00772C3A" w:rsidRDefault="004D153C" w:rsidP="00AF1B7B">
      <w:pPr>
        <w:pStyle w:val="FA-Paragraphtext"/>
      </w:pPr>
      <w:r>
        <w:t xml:space="preserve">We would like to highlight the crucial point that </w:t>
      </w:r>
      <w:r w:rsidR="00404E33">
        <w:t xml:space="preserve">CS </w:t>
      </w:r>
      <w:r>
        <w:t xml:space="preserve">should be considered </w:t>
      </w:r>
      <w:r w:rsidR="00404E33">
        <w:t>as tools</w:t>
      </w:r>
      <w:r>
        <w:t>,</w:t>
      </w:r>
      <w:r w:rsidR="00404E33">
        <w:t xml:space="preserve"> mediating individual strategies representing different ways of coping with perceptual uncertainty. This understanding is supported by </w:t>
      </w:r>
      <w:r>
        <w:t>up-to-date findings concerning the role of CS in cognition regulation (Kozhevnikov et al., 2014; Zhang et al., 2012).</w:t>
      </w:r>
      <w:permEnd w:id="13"/>
    </w:p>
    <w:p w:rsidR="00664E6D" w:rsidRPr="00772C3A" w:rsidRDefault="00664E6D" w:rsidP="007A75DE">
      <w:pPr>
        <w:pStyle w:val="FA-Break"/>
      </w:pPr>
    </w:p>
    <w:p w:rsidR="00664E6D" w:rsidRPr="00772C3A" w:rsidRDefault="00664E6D" w:rsidP="007A75DE">
      <w:pPr>
        <w:pStyle w:val="FA-RefHeader"/>
      </w:pPr>
      <w:r w:rsidRPr="00772C3A">
        <w:t>Acknowledgments [if any]</w:t>
      </w:r>
    </w:p>
    <w:p w:rsidR="00664E6D" w:rsidRPr="00772C3A" w:rsidRDefault="00ED3173" w:rsidP="007A75DE">
      <w:pPr>
        <w:pStyle w:val="FA-Paragraphtext"/>
      </w:pPr>
      <w:permStart w:id="14" w:edGrp="everyone"/>
      <w:r>
        <w:t xml:space="preserve">This study was supported in part by the Lomonosov Moscow State University Program of Development. </w:t>
      </w:r>
      <w:r w:rsidR="00557DE5">
        <w:t>We acknowledge A. Kremlev for the development of computer tests we used.</w:t>
      </w:r>
      <w:permEnd w:id="14"/>
    </w:p>
    <w:p w:rsidR="00E768AA" w:rsidRPr="007A75DE" w:rsidRDefault="00E768AA" w:rsidP="007A75DE">
      <w:pPr>
        <w:pStyle w:val="FA-Break"/>
      </w:pPr>
    </w:p>
    <w:p w:rsidR="00E768AA" w:rsidRPr="00772C3A" w:rsidRDefault="00E768AA" w:rsidP="007A75DE">
      <w:pPr>
        <w:pStyle w:val="FA-RefHeader"/>
      </w:pPr>
      <w:r w:rsidRPr="00772C3A">
        <w:t>References</w:t>
      </w:r>
    </w:p>
    <w:p w:rsidR="00EF68E2" w:rsidRPr="00D90EF1" w:rsidRDefault="00EF68E2" w:rsidP="00EF68E2">
      <w:pPr>
        <w:pStyle w:val="FA-RefText"/>
      </w:pPr>
      <w:permStart w:id="15" w:edGrp="everyone"/>
      <w:r w:rsidRPr="00D90EF1">
        <w:t>Epling, S.L., Russell, P.N., &amp; Helton, W.S. (2016). A new semantic vigilance task: vigilance decrement, workload, and sensitivity to dual-task costs. Experimental Brain Research, 234, 133–139. doi: 10.1007/s00221-015-4444-0</w:t>
      </w:r>
    </w:p>
    <w:p w:rsidR="00EF68E2" w:rsidRDefault="00EF68E2" w:rsidP="00EF68E2">
      <w:pPr>
        <w:pStyle w:val="FA-RefText"/>
        <w:rPr>
          <w:lang w:val="en-US"/>
        </w:rPr>
      </w:pPr>
      <w:r w:rsidRPr="00891839">
        <w:rPr>
          <w:lang w:val="en-US"/>
        </w:rPr>
        <w:t>Gardner, R. W., Holzman, P. S., Klein, G. S., Linton, H. B., &amp; Spence, D. P. (1959). Cognitive control. A study of individual consistencies in cognitive behavior: Part 4. Psychological issues. New York: International Universities Press.</w:t>
      </w:r>
    </w:p>
    <w:p w:rsidR="00EF68E2" w:rsidRPr="00D90EF1" w:rsidRDefault="00EF68E2" w:rsidP="00EF68E2">
      <w:pPr>
        <w:pStyle w:val="FA-RefText"/>
      </w:pPr>
      <w:r w:rsidRPr="00D90EF1">
        <w:t xml:space="preserve">Gurler, D., Doyle, N., Walker, E., Magnotti, J., &amp; Beauchamp, M. (2015). A link between individual differences in multisensory speech perception and eye movements. Attention, Perception &amp; Psychophysics, 77(4), 1333–1341. </w:t>
      </w:r>
      <w:hyperlink r:id="rId8" w:history="1">
        <w:r w:rsidRPr="00D90EF1">
          <w:t>doi:10.3758/s13414-014-0821-1</w:t>
        </w:r>
      </w:hyperlink>
    </w:p>
    <w:p w:rsidR="00EF68E2" w:rsidRPr="00D90EF1" w:rsidRDefault="00EF68E2" w:rsidP="00EF68E2">
      <w:pPr>
        <w:pStyle w:val="FA-RefText"/>
      </w:pPr>
      <w:r w:rsidRPr="00D90EF1">
        <w:t>Humphreys, M.S., &amp;Revelle, W. (1984). Personality, motivation and performance: a theory of relationship between individual differences and information processing. Psychological Review, 91, 153–184.</w:t>
      </w:r>
    </w:p>
    <w:p w:rsidR="00EF68E2" w:rsidRPr="00D90EF1" w:rsidRDefault="00EF68E2" w:rsidP="00EF68E2">
      <w:pPr>
        <w:pStyle w:val="FA-RefText"/>
      </w:pPr>
      <w:r w:rsidRPr="00D90EF1">
        <w:t xml:space="preserve">Kozhevnikov, M., Evans, C., &amp;Kosslyn, S. M. (2014). Cognitive style as environmentally sensitive individual differences in cognition: A modern synthesis and applications in education, business, </w:t>
      </w:r>
      <w:r w:rsidRPr="00D90EF1">
        <w:lastRenderedPageBreak/>
        <w:t>and management. Psychological Science In The Public Interest, 15(1), 3–33. doi: 10.1177/1529100614525555</w:t>
      </w:r>
    </w:p>
    <w:p w:rsidR="00EF68E2" w:rsidRPr="00891839" w:rsidRDefault="00EF68E2" w:rsidP="00EF68E2">
      <w:pPr>
        <w:pStyle w:val="FA-RefText"/>
        <w:rPr>
          <w:lang w:val="en-US"/>
        </w:rPr>
      </w:pPr>
      <w:r w:rsidRPr="00891839">
        <w:rPr>
          <w:lang w:val="en-US"/>
        </w:rPr>
        <w:t>Larsen, R. J. &amp; Zarate, M. (1991). Extending reducer/augmenter theory into the emotion domain: The role of emotion in regulating stimulation level. Personality and Individual Differences, 12, 713-722.</w:t>
      </w:r>
    </w:p>
    <w:p w:rsidR="00EF68E2" w:rsidRPr="00D90EF1" w:rsidRDefault="00EF68E2" w:rsidP="00EF68E2">
      <w:pPr>
        <w:pStyle w:val="FA-RefText"/>
      </w:pPr>
      <w:r w:rsidRPr="00D90EF1">
        <w:t>Nosal, C.S. (2009). The structure and regulative function of the cognitive styles: a new theory. Polish Psychological Bulletin, 41(3), 122–126. doi: 10.2478/v10059-010-0016-0</w:t>
      </w:r>
    </w:p>
    <w:p w:rsidR="00EF68E2" w:rsidRPr="00D90EF1" w:rsidRDefault="00EF68E2" w:rsidP="00EF68E2">
      <w:pPr>
        <w:pStyle w:val="FA-RefText"/>
      </w:pPr>
      <w:r w:rsidRPr="00D90EF1">
        <w:rPr>
          <w:iCs/>
        </w:rPr>
        <w:t>Parasuraman, R., Warm, J.S., &amp;Dember, W.N</w:t>
      </w:r>
      <w:r w:rsidRPr="00D90EF1">
        <w:t>. (1987). Vigilance: Taxonomy and utility</w:t>
      </w:r>
      <w:r>
        <w:t>.</w:t>
      </w:r>
      <w:r w:rsidRPr="00D90EF1">
        <w:t> In L.S.Mark, J.S.Warm, R.L.Huston. (Eds.), Ergomonics and human factors: recent research (pp. 11–32). New York: Springer.</w:t>
      </w:r>
    </w:p>
    <w:p w:rsidR="00EF68E2" w:rsidRPr="00D90EF1" w:rsidRDefault="00EF68E2" w:rsidP="00EF68E2">
      <w:pPr>
        <w:pStyle w:val="FA-RefText"/>
      </w:pPr>
      <w:r w:rsidRPr="00D90EF1">
        <w:t>Ralph, B., Onderwater, K., Thomson, D., &amp;Smilek, D. (2017). Disrupting monotony while increasing demand: Benefits of rest and intervening tasks on vigilance. Psychological Research, 81(2), 432–444. doi: 10.1007/s00426-016-0752-7</w:t>
      </w:r>
    </w:p>
    <w:p w:rsidR="00EF68E2" w:rsidRDefault="00EF68E2" w:rsidP="00EF68E2">
      <w:pPr>
        <w:pStyle w:val="FA-RefText"/>
        <w:rPr>
          <w:lang w:val="en-US"/>
        </w:rPr>
      </w:pPr>
      <w:r w:rsidRPr="00891839">
        <w:rPr>
          <w:lang w:val="en-US"/>
        </w:rPr>
        <w:t>Santostefano</w:t>
      </w:r>
      <w:r>
        <w:rPr>
          <w:lang w:val="en-US"/>
        </w:rPr>
        <w:t>,</w:t>
      </w:r>
      <w:r w:rsidRPr="00891839">
        <w:rPr>
          <w:lang w:val="en-US"/>
        </w:rPr>
        <w:t xml:space="preserve"> S. </w:t>
      </w:r>
      <w:r>
        <w:rPr>
          <w:lang w:val="en-US"/>
        </w:rPr>
        <w:t xml:space="preserve">(1971). </w:t>
      </w:r>
      <w:r w:rsidRPr="00891839">
        <w:rPr>
          <w:lang w:val="en-US"/>
        </w:rPr>
        <w:t>Leveling-sharpening house test: a procedure for assessing the cognitive principle of leveling-sharpenin</w:t>
      </w:r>
      <w:r>
        <w:rPr>
          <w:lang w:val="en-US"/>
        </w:rPr>
        <w:t>g. Boston: S. Santostefano.</w:t>
      </w:r>
    </w:p>
    <w:p w:rsidR="00EF68E2" w:rsidRPr="00D90EF1" w:rsidRDefault="00EF68E2" w:rsidP="00EF68E2">
      <w:pPr>
        <w:pStyle w:val="FA-RefText"/>
      </w:pPr>
      <w:r w:rsidRPr="00D90EF1">
        <w:t>Siegel, Z.D., &amp; Kelly, J.W. (2017). Walking through a virtual environment improves perceived size within and beyond the walked space. Attention, Perception, &amp; Psychophysics, 79(1), 39–44.</w:t>
      </w:r>
    </w:p>
    <w:p w:rsidR="00EF68E2" w:rsidRPr="00D90EF1" w:rsidRDefault="00EF68E2" w:rsidP="00EF68E2">
      <w:pPr>
        <w:pStyle w:val="FA-RefText"/>
      </w:pPr>
      <w:r w:rsidRPr="00D90EF1">
        <w:t>Smit, A.S., Eling, P.A., &amp;Coenen, A.M. (2004). Mental effort causes vigilance decrease due to resource depletion. ActaPsychologica, 115, 35–42.</w:t>
      </w:r>
    </w:p>
    <w:p w:rsidR="00EF68E2" w:rsidRDefault="00EF68E2" w:rsidP="00EF68E2">
      <w:pPr>
        <w:pStyle w:val="FA-RefText"/>
        <w:rPr>
          <w:lang w:val="en-US"/>
        </w:rPr>
      </w:pPr>
      <w:r w:rsidRPr="00CC10E7">
        <w:rPr>
          <w:lang w:val="en-US"/>
        </w:rPr>
        <w:t xml:space="preserve">Stroop, J. R. (1935). Studies of interference in serial verbal reactions. </w:t>
      </w:r>
      <w:r w:rsidRPr="00891839">
        <w:rPr>
          <w:lang w:val="en-US"/>
        </w:rPr>
        <w:t>Journal of Experimental Psychology, 18(6), 643-662. doi</w:t>
      </w:r>
      <w:r>
        <w:rPr>
          <w:lang w:val="en-US"/>
        </w:rPr>
        <w:t xml:space="preserve">: </w:t>
      </w:r>
      <w:r w:rsidRPr="00891839">
        <w:rPr>
          <w:lang w:val="en-US"/>
        </w:rPr>
        <w:t>10.1037/h0054651</w:t>
      </w:r>
    </w:p>
    <w:p w:rsidR="00EF68E2" w:rsidRPr="00D90EF1" w:rsidRDefault="00EF68E2" w:rsidP="00EF68E2">
      <w:pPr>
        <w:pStyle w:val="FA-RefText"/>
      </w:pPr>
      <w:r w:rsidRPr="00D90EF1">
        <w:t>Thomson, D.R., Besner, D., &amp;Smilek, D. (2015). A Resource-Control Account of Sustained Attention: Evidence From Mind-Wandering and Vigilance Paradigms. Perspectives on Psychological Science, 10(1), 82–96.</w:t>
      </w:r>
    </w:p>
    <w:p w:rsidR="00EF68E2" w:rsidRDefault="00EF68E2" w:rsidP="00EF68E2">
      <w:pPr>
        <w:pStyle w:val="FA-RefText"/>
      </w:pPr>
      <w:r w:rsidRPr="00D90EF1">
        <w:t>Wilson, K.E., Lowe, M.X., Ruppel, J., Pratt, J., &amp; Ferber, S. (2016). The scope of no return: Openness predicts the spatial distribution of Inhibition of Return. Attention, Perception, &amp; Psychophysics, 78(1), 209–217.</w:t>
      </w:r>
    </w:p>
    <w:p w:rsidR="00EB5E67" w:rsidRPr="00772C3A" w:rsidRDefault="00EF68E2" w:rsidP="00EF68E2">
      <w:pPr>
        <w:pStyle w:val="FA-RefText"/>
      </w:pPr>
      <w:r w:rsidRPr="00D90EF1">
        <w:t>Zhang, L.F., Sternberg, R.J., &amp; Rayner, S. (2012). Intellectual styles: Challenges, milestones, and agenda. In L.F. Zhang, R.J. Sternberg, &amp; S. Rayner (Eds.), Handbook of intellectual styles: Preferences in cognition, learning, and thinking (pp. 1–20). New Yor</w:t>
      </w:r>
      <w:r>
        <w:t>k: Springer Publishing Company.</w:t>
      </w:r>
      <w:permEnd w:id="15"/>
    </w:p>
    <w:sectPr w:rsidR="00EB5E67" w:rsidRPr="00772C3A" w:rsidSect="00EB5E67">
      <w:headerReference w:type="default" r:id="rId9"/>
      <w:headerReference w:type="first" r:id="rId10"/>
      <w:footerReference w:type="first" r:id="rId11"/>
      <w:pgSz w:w="11906" w:h="16838"/>
      <w:pgMar w:top="1134"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5BA" w:rsidRDefault="00A035BA" w:rsidP="009F6DA7">
      <w:pPr>
        <w:spacing w:after="0" w:line="240" w:lineRule="auto"/>
      </w:pPr>
      <w:r>
        <w:separator/>
      </w:r>
    </w:p>
  </w:endnote>
  <w:endnote w:type="continuationSeparator" w:id="1">
    <w:p w:rsidR="00A035BA" w:rsidRDefault="00A035BA" w:rsidP="009F6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142" w:rsidRPr="009906F6" w:rsidRDefault="00DA1142" w:rsidP="009906F6">
    <w:pPr>
      <w:pStyle w:val="a5"/>
      <w:tabs>
        <w:tab w:val="clear" w:pos="9026"/>
      </w:tabs>
      <w:jc w:val="both"/>
      <w:rPr>
        <w:rFonts w:ascii="Times New Roman" w:hAnsi="Times New Roman" w:cs="Times New Roman"/>
        <w:sz w:val="16"/>
        <w:szCs w:val="16"/>
      </w:rPr>
    </w:pPr>
    <w:r w:rsidRPr="005F0F10">
      <w:rPr>
        <w:rFonts w:ascii="Times New Roman" w:hAnsi="Times New Roman" w:cs="Times New Roman"/>
        <w:noProof/>
        <w:sz w:val="16"/>
        <w:szCs w:val="16"/>
        <w:lang w:val="ru-RU" w:eastAsia="ru-RU"/>
      </w:rPr>
      <w:drawing>
        <wp:inline distT="0" distB="0" distL="0" distR="0">
          <wp:extent cx="609600" cy="220345"/>
          <wp:effectExtent l="0" t="0" r="0" b="8255"/>
          <wp:docPr id="5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220345"/>
                  </a:xfrm>
                  <a:prstGeom prst="rect">
                    <a:avLst/>
                  </a:prstGeom>
                  <a:noFill/>
                  <a:ln>
                    <a:noFill/>
                  </a:ln>
                </pic:spPr>
              </pic:pic>
            </a:graphicData>
          </a:graphic>
        </wp:inline>
      </w:drawing>
    </w:r>
    <w:r w:rsidRPr="005F0F10">
      <w:rPr>
        <w:rFonts w:ascii="Times New Roman" w:hAnsi="Times New Roman" w:cs="Times New Roman"/>
        <w:sz w:val="16"/>
        <w:szCs w:val="16"/>
      </w:rPr>
      <w:t>This is an Open Access article distributed under the terms of the Creative Commons Attribution-Noncommercial 4.0 Unported License, permitting all non-commercial use, distribution, and reproduction in any medium, provided the original work is properly cited.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5BA" w:rsidRDefault="00A035BA" w:rsidP="009F6DA7">
      <w:pPr>
        <w:spacing w:after="0" w:line="240" w:lineRule="auto"/>
      </w:pPr>
      <w:r>
        <w:separator/>
      </w:r>
    </w:p>
  </w:footnote>
  <w:footnote w:type="continuationSeparator" w:id="1">
    <w:p w:rsidR="00A035BA" w:rsidRDefault="00A035BA" w:rsidP="009F6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142" w:rsidRPr="00EB5E67" w:rsidRDefault="00BE7F17" w:rsidP="004D6B4D">
    <w:pPr>
      <w:pStyle w:val="FA-Footer"/>
    </w:pPr>
    <w:hyperlink r:id="rId1" w:history="1">
      <w:r w:rsidR="00DA1142" w:rsidRPr="00EB5E67">
        <w:t>http://dx.doi.org/</w:t>
      </w:r>
    </w:hyperlink>
  </w:p>
  <w:p w:rsidR="00DA1142" w:rsidRPr="00EB5E67" w:rsidRDefault="00DA1142" w:rsidP="004D6B4D">
    <w:pPr>
      <w:pStyle w:val="FA-Footer"/>
    </w:pPr>
    <w:r w:rsidRPr="00EB5E67">
      <w:t>Corresponding Author:</w:t>
    </w:r>
  </w:p>
  <w:p w:rsidR="00DA1142" w:rsidRPr="00EB5E67" w:rsidRDefault="00DA1142" w:rsidP="004D6B4D">
    <w:pPr>
      <w:pStyle w:val="FA-Footer"/>
    </w:pPr>
    <w:r w:rsidRPr="00EB5E67">
      <w:t>Selection and peer-review under responsibility of the Organizing Committee of the conference</w:t>
    </w:r>
  </w:p>
  <w:p w:rsidR="00DA1142" w:rsidRPr="00EB5E67" w:rsidRDefault="00DA1142" w:rsidP="004D6B4D">
    <w:pPr>
      <w:pStyle w:val="FA-Footer"/>
    </w:pPr>
    <w:r w:rsidRPr="00EB5E67">
      <w:t>eISSN: 2357-1330</w:t>
    </w:r>
  </w:p>
  <w:p w:rsidR="00DA1142" w:rsidRDefault="00DA114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142" w:rsidRPr="009906F6" w:rsidRDefault="00DA1142" w:rsidP="009906F6">
    <w:pPr>
      <w:spacing w:after="0" w:line="26" w:lineRule="atLeast"/>
      <w:jc w:val="right"/>
      <w:rPr>
        <w:rFonts w:ascii="Times New Roman" w:eastAsia="Times New Roman" w:hAnsi="Times New Roman" w:cs="Times New Roman"/>
        <w:b/>
        <w:color w:val="555555"/>
        <w:shd w:val="clear" w:color="auto" w:fill="FFFFFF"/>
      </w:rPr>
    </w:pPr>
    <w:r w:rsidRPr="009906F6">
      <w:rPr>
        <w:rFonts w:ascii="Times New Roman" w:eastAsia="Times New Roman" w:hAnsi="Times New Roman" w:cs="Times New Roman"/>
        <w:b/>
        <w:color w:val="555555"/>
        <w:shd w:val="clear" w:color="auto" w:fill="FFFFFF"/>
      </w:rPr>
      <w:t>The European Proceedings of</w:t>
    </w:r>
  </w:p>
  <w:p w:rsidR="00DA1142" w:rsidRPr="009906F6" w:rsidRDefault="00DA1142" w:rsidP="009906F6">
    <w:pPr>
      <w:spacing w:after="0" w:line="26" w:lineRule="atLeast"/>
      <w:jc w:val="right"/>
      <w:rPr>
        <w:rFonts w:ascii="Times New Roman" w:eastAsia="Times New Roman" w:hAnsi="Times New Roman" w:cs="Times New Roman"/>
        <w:b/>
        <w:color w:val="555555"/>
        <w:sz w:val="32"/>
        <w:shd w:val="clear" w:color="auto" w:fill="FFFFFF"/>
      </w:rPr>
    </w:pPr>
    <w:r w:rsidRPr="009906F6">
      <w:rPr>
        <w:rFonts w:ascii="Times New Roman" w:eastAsia="Times New Roman" w:hAnsi="Times New Roman" w:cs="Times New Roman"/>
        <w:b/>
        <w:color w:val="555555"/>
        <w:sz w:val="32"/>
        <w:shd w:val="clear" w:color="auto" w:fill="FFFFFF"/>
      </w:rPr>
      <w:t>Social &amp; Behavioural Sciences</w:t>
    </w:r>
  </w:p>
  <w:p w:rsidR="00DA1142" w:rsidRPr="009906F6" w:rsidRDefault="00DA1142" w:rsidP="009906F6">
    <w:pPr>
      <w:spacing w:after="0" w:line="26" w:lineRule="atLeast"/>
      <w:jc w:val="right"/>
      <w:rPr>
        <w:rFonts w:ascii="Times New Roman" w:eastAsia="Times New Roman" w:hAnsi="Times New Roman" w:cs="Times New Roman"/>
        <w:color w:val="555555"/>
        <w:shd w:val="clear" w:color="auto" w:fill="FFFFFF"/>
      </w:rPr>
    </w:pPr>
    <w:r w:rsidRPr="009906F6">
      <w:rPr>
        <w:rFonts w:ascii="Times New Roman" w:eastAsia="Times New Roman" w:hAnsi="Times New Roman" w:cs="Times New Roman"/>
        <w:color w:val="555555"/>
        <w:shd w:val="clear" w:color="auto" w:fill="FFFFFF"/>
      </w:rPr>
      <w:t>EpSBS</w:t>
    </w:r>
  </w:p>
  <w:p w:rsidR="00DA1142" w:rsidRDefault="00DA1142" w:rsidP="009906F6">
    <w:pPr>
      <w:spacing w:after="0" w:line="26" w:lineRule="atLeast"/>
      <w:jc w:val="right"/>
      <w:rPr>
        <w:rFonts w:ascii="Times New Roman" w:eastAsia="Times New Roman" w:hAnsi="Times New Roman" w:cs="Times New Roman"/>
        <w:color w:val="555555"/>
        <w:shd w:val="clear" w:color="auto" w:fill="FFFFFF"/>
      </w:rPr>
    </w:pPr>
    <w:r>
      <w:rPr>
        <w:rFonts w:ascii="Times New Roman" w:eastAsia="Times New Roman" w:hAnsi="Times New Roman" w:cs="Times New Roman"/>
        <w:noProof/>
        <w:color w:val="555555"/>
        <w:shd w:val="clear" w:color="auto" w:fill="FFFFFF"/>
        <w:lang w:val="ru-RU" w:eastAsia="ru-RU"/>
      </w:rPr>
      <w:drawing>
        <wp:anchor distT="0" distB="0" distL="114300" distR="114300" simplePos="0" relativeHeight="251658240" behindDoc="0" locked="0" layoutInCell="1" allowOverlap="1">
          <wp:simplePos x="0" y="0"/>
          <wp:positionH relativeFrom="column">
            <wp:posOffset>-13335</wp:posOffset>
          </wp:positionH>
          <wp:positionV relativeFrom="page">
            <wp:posOffset>1104900</wp:posOffset>
          </wp:positionV>
          <wp:extent cx="405130" cy="215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130" cy="215900"/>
                  </a:xfrm>
                  <a:prstGeom prst="rect">
                    <a:avLst/>
                  </a:prstGeom>
                  <a:noFill/>
                  <a:ln>
                    <a:noFill/>
                  </a:ln>
                </pic:spPr>
              </pic:pic>
            </a:graphicData>
          </a:graphic>
        </wp:anchor>
      </w:drawing>
    </w:r>
    <w:r w:rsidR="00BE7F17" w:rsidRPr="00BE7F17">
      <w:rPr>
        <w:rFonts w:ascii="Times New Roman" w:eastAsia="Times New Roman" w:hAnsi="Times New Roman" w:cs="Times New Roman"/>
        <w:noProof/>
        <w:lang w:val="ru-RU" w:eastAsia="ru-RU"/>
      </w:rPr>
      <w:pict>
        <v:line id="Straight Connector 10" o:spid="_x0000_s2049" style="position:absolute;left:0;text-align:left;flip:y;z-index:251659264;visibility:visible;mso-position-horizontal-relative:text;mso-position-vertical-relative:text;mso-height-relative:margin" from="-.3pt,4.65pt" to="424.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" strokecolor="#7f7f7f [1612]" strokeweight="2.5pt">
          <v:stroke joinstyle="miter"/>
        </v:line>
      </w:pict>
    </w:r>
  </w:p>
  <w:p w:rsidR="00DA1142" w:rsidRDefault="00DA1142" w:rsidP="009906F6">
    <w:pPr>
      <w:spacing w:after="0" w:line="26" w:lineRule="atLeast"/>
      <w:jc w:val="right"/>
      <w:rPr>
        <w:rFonts w:ascii="Times New Roman" w:eastAsia="Times New Roman" w:hAnsi="Times New Roman" w:cs="Times New Roman"/>
        <w:color w:val="555555"/>
        <w:shd w:val="clear" w:color="auto" w:fill="FFFFFF"/>
      </w:rPr>
    </w:pPr>
    <w:r>
      <w:rPr>
        <w:rFonts w:ascii="Times New Roman" w:eastAsia="Times New Roman" w:hAnsi="Times New Roman" w:cs="Times New Roman"/>
        <w:color w:val="555555"/>
        <w:shd w:val="clear" w:color="auto" w:fill="FFFFFF"/>
      </w:rPr>
      <w:t xml:space="preserve">Future Academy                                                                                       </w:t>
    </w:r>
    <w:r w:rsidRPr="00B03CEA">
      <w:rPr>
        <w:rFonts w:ascii="Times New Roman" w:eastAsia="Times New Roman" w:hAnsi="Times New Roman" w:cs="Times New Roman"/>
        <w:color w:val="555555"/>
        <w:shd w:val="clear" w:color="auto" w:fill="FFFFFF"/>
      </w:rPr>
      <w:t>ISSN: 2357-1330</w:t>
    </w:r>
  </w:p>
  <w:p w:rsidR="00DA1142" w:rsidRPr="00B03CEA" w:rsidRDefault="00DA1142" w:rsidP="009906F6">
    <w:pPr>
      <w:spacing w:after="0" w:line="26" w:lineRule="atLeast"/>
      <w:jc w:val="right"/>
      <w:rPr>
        <w:rFonts w:ascii="Times New Roman" w:eastAsia="Times New Roman" w:hAnsi="Times New Roman" w:cs="Times New Roman"/>
        <w:color w:val="55555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9pt;height:48.9pt;visibility:visible;mso-wrap-style:square" o:bullet="t">
        <v:imagedata r:id="rId1" o:title=""/>
      </v:shape>
    </w:pict>
  </w:numPicBullet>
  <w:abstractNum w:abstractNumId="0">
    <w:nsid w:val="FFFFFF1D"/>
    <w:multiLevelType w:val="multilevel"/>
    <w:tmpl w:val="502295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595BCD"/>
    <w:multiLevelType w:val="hybridMultilevel"/>
    <w:tmpl w:val="3FF628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67906"/>
    <w:multiLevelType w:val="hybridMultilevel"/>
    <w:tmpl w:val="103C4D0A"/>
    <w:lvl w:ilvl="0" w:tplc="EF287C46">
      <w:start w:val="1"/>
      <w:numFmt w:val="decimalZero"/>
      <w:pStyle w:val="FA-Tnumbers"/>
      <w:lvlText w:val="Tabl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4C254D"/>
    <w:multiLevelType w:val="hybridMultilevel"/>
    <w:tmpl w:val="81EE0492"/>
    <w:lvl w:ilvl="0" w:tplc="A028936E">
      <w:start w:val="1"/>
      <w:numFmt w:val="bullet"/>
      <w:lvlText w:val=""/>
      <w:lvlPicBulletId w:val="0"/>
      <w:lvlJc w:val="left"/>
      <w:pPr>
        <w:tabs>
          <w:tab w:val="num" w:pos="720"/>
        </w:tabs>
        <w:ind w:left="720" w:hanging="360"/>
      </w:pPr>
      <w:rPr>
        <w:rFonts w:ascii="Symbol" w:hAnsi="Symbol" w:hint="default"/>
      </w:rPr>
    </w:lvl>
    <w:lvl w:ilvl="1" w:tplc="711CCF28" w:tentative="1">
      <w:start w:val="1"/>
      <w:numFmt w:val="bullet"/>
      <w:lvlText w:val=""/>
      <w:lvlJc w:val="left"/>
      <w:pPr>
        <w:tabs>
          <w:tab w:val="num" w:pos="1440"/>
        </w:tabs>
        <w:ind w:left="1440" w:hanging="360"/>
      </w:pPr>
      <w:rPr>
        <w:rFonts w:ascii="Symbol" w:hAnsi="Symbol" w:hint="default"/>
      </w:rPr>
    </w:lvl>
    <w:lvl w:ilvl="2" w:tplc="AAA64420" w:tentative="1">
      <w:start w:val="1"/>
      <w:numFmt w:val="bullet"/>
      <w:lvlText w:val=""/>
      <w:lvlJc w:val="left"/>
      <w:pPr>
        <w:tabs>
          <w:tab w:val="num" w:pos="2160"/>
        </w:tabs>
        <w:ind w:left="2160" w:hanging="360"/>
      </w:pPr>
      <w:rPr>
        <w:rFonts w:ascii="Symbol" w:hAnsi="Symbol" w:hint="default"/>
      </w:rPr>
    </w:lvl>
    <w:lvl w:ilvl="3" w:tplc="E3E43224" w:tentative="1">
      <w:start w:val="1"/>
      <w:numFmt w:val="bullet"/>
      <w:lvlText w:val=""/>
      <w:lvlJc w:val="left"/>
      <w:pPr>
        <w:tabs>
          <w:tab w:val="num" w:pos="2880"/>
        </w:tabs>
        <w:ind w:left="2880" w:hanging="360"/>
      </w:pPr>
      <w:rPr>
        <w:rFonts w:ascii="Symbol" w:hAnsi="Symbol" w:hint="default"/>
      </w:rPr>
    </w:lvl>
    <w:lvl w:ilvl="4" w:tplc="E5F205C2" w:tentative="1">
      <w:start w:val="1"/>
      <w:numFmt w:val="bullet"/>
      <w:lvlText w:val=""/>
      <w:lvlJc w:val="left"/>
      <w:pPr>
        <w:tabs>
          <w:tab w:val="num" w:pos="3600"/>
        </w:tabs>
        <w:ind w:left="3600" w:hanging="360"/>
      </w:pPr>
      <w:rPr>
        <w:rFonts w:ascii="Symbol" w:hAnsi="Symbol" w:hint="default"/>
      </w:rPr>
    </w:lvl>
    <w:lvl w:ilvl="5" w:tplc="2C8A2374" w:tentative="1">
      <w:start w:val="1"/>
      <w:numFmt w:val="bullet"/>
      <w:lvlText w:val=""/>
      <w:lvlJc w:val="left"/>
      <w:pPr>
        <w:tabs>
          <w:tab w:val="num" w:pos="4320"/>
        </w:tabs>
        <w:ind w:left="4320" w:hanging="360"/>
      </w:pPr>
      <w:rPr>
        <w:rFonts w:ascii="Symbol" w:hAnsi="Symbol" w:hint="default"/>
      </w:rPr>
    </w:lvl>
    <w:lvl w:ilvl="6" w:tplc="A4665BE8" w:tentative="1">
      <w:start w:val="1"/>
      <w:numFmt w:val="bullet"/>
      <w:lvlText w:val=""/>
      <w:lvlJc w:val="left"/>
      <w:pPr>
        <w:tabs>
          <w:tab w:val="num" w:pos="5040"/>
        </w:tabs>
        <w:ind w:left="5040" w:hanging="360"/>
      </w:pPr>
      <w:rPr>
        <w:rFonts w:ascii="Symbol" w:hAnsi="Symbol" w:hint="default"/>
      </w:rPr>
    </w:lvl>
    <w:lvl w:ilvl="7" w:tplc="564637B4" w:tentative="1">
      <w:start w:val="1"/>
      <w:numFmt w:val="bullet"/>
      <w:lvlText w:val=""/>
      <w:lvlJc w:val="left"/>
      <w:pPr>
        <w:tabs>
          <w:tab w:val="num" w:pos="5760"/>
        </w:tabs>
        <w:ind w:left="5760" w:hanging="360"/>
      </w:pPr>
      <w:rPr>
        <w:rFonts w:ascii="Symbol" w:hAnsi="Symbol" w:hint="default"/>
      </w:rPr>
    </w:lvl>
    <w:lvl w:ilvl="8" w:tplc="708E98D6" w:tentative="1">
      <w:start w:val="1"/>
      <w:numFmt w:val="bullet"/>
      <w:lvlText w:val=""/>
      <w:lvlJc w:val="left"/>
      <w:pPr>
        <w:tabs>
          <w:tab w:val="num" w:pos="6480"/>
        </w:tabs>
        <w:ind w:left="6480" w:hanging="360"/>
      </w:pPr>
      <w:rPr>
        <w:rFonts w:ascii="Symbol" w:hAnsi="Symbol" w:hint="default"/>
      </w:rPr>
    </w:lvl>
  </w:abstractNum>
  <w:abstractNum w:abstractNumId="4">
    <w:nsid w:val="18DE3E66"/>
    <w:multiLevelType w:val="hybridMultilevel"/>
    <w:tmpl w:val="2FE6EFCE"/>
    <w:lvl w:ilvl="0" w:tplc="530A2EF4">
      <w:start w:val="1"/>
      <w:numFmt w:val="bullet"/>
      <w:lvlText w:val=""/>
      <w:lvlPicBulletId w:val="0"/>
      <w:lvlJc w:val="left"/>
      <w:pPr>
        <w:tabs>
          <w:tab w:val="num" w:pos="720"/>
        </w:tabs>
        <w:ind w:left="720" w:hanging="360"/>
      </w:pPr>
      <w:rPr>
        <w:rFonts w:ascii="Symbol" w:hAnsi="Symbol" w:hint="default"/>
      </w:rPr>
    </w:lvl>
    <w:lvl w:ilvl="1" w:tplc="C7082C36" w:tentative="1">
      <w:start w:val="1"/>
      <w:numFmt w:val="bullet"/>
      <w:lvlText w:val=""/>
      <w:lvlJc w:val="left"/>
      <w:pPr>
        <w:tabs>
          <w:tab w:val="num" w:pos="1440"/>
        </w:tabs>
        <w:ind w:left="1440" w:hanging="360"/>
      </w:pPr>
      <w:rPr>
        <w:rFonts w:ascii="Symbol" w:hAnsi="Symbol" w:hint="default"/>
      </w:rPr>
    </w:lvl>
    <w:lvl w:ilvl="2" w:tplc="99D4FB44" w:tentative="1">
      <w:start w:val="1"/>
      <w:numFmt w:val="bullet"/>
      <w:lvlText w:val=""/>
      <w:lvlJc w:val="left"/>
      <w:pPr>
        <w:tabs>
          <w:tab w:val="num" w:pos="2160"/>
        </w:tabs>
        <w:ind w:left="2160" w:hanging="360"/>
      </w:pPr>
      <w:rPr>
        <w:rFonts w:ascii="Symbol" w:hAnsi="Symbol" w:hint="default"/>
      </w:rPr>
    </w:lvl>
    <w:lvl w:ilvl="3" w:tplc="F3824372" w:tentative="1">
      <w:start w:val="1"/>
      <w:numFmt w:val="bullet"/>
      <w:lvlText w:val=""/>
      <w:lvlJc w:val="left"/>
      <w:pPr>
        <w:tabs>
          <w:tab w:val="num" w:pos="2880"/>
        </w:tabs>
        <w:ind w:left="2880" w:hanging="360"/>
      </w:pPr>
      <w:rPr>
        <w:rFonts w:ascii="Symbol" w:hAnsi="Symbol" w:hint="default"/>
      </w:rPr>
    </w:lvl>
    <w:lvl w:ilvl="4" w:tplc="C5DC285C" w:tentative="1">
      <w:start w:val="1"/>
      <w:numFmt w:val="bullet"/>
      <w:lvlText w:val=""/>
      <w:lvlJc w:val="left"/>
      <w:pPr>
        <w:tabs>
          <w:tab w:val="num" w:pos="3600"/>
        </w:tabs>
        <w:ind w:left="3600" w:hanging="360"/>
      </w:pPr>
      <w:rPr>
        <w:rFonts w:ascii="Symbol" w:hAnsi="Symbol" w:hint="default"/>
      </w:rPr>
    </w:lvl>
    <w:lvl w:ilvl="5" w:tplc="A1A2714A" w:tentative="1">
      <w:start w:val="1"/>
      <w:numFmt w:val="bullet"/>
      <w:lvlText w:val=""/>
      <w:lvlJc w:val="left"/>
      <w:pPr>
        <w:tabs>
          <w:tab w:val="num" w:pos="4320"/>
        </w:tabs>
        <w:ind w:left="4320" w:hanging="360"/>
      </w:pPr>
      <w:rPr>
        <w:rFonts w:ascii="Symbol" w:hAnsi="Symbol" w:hint="default"/>
      </w:rPr>
    </w:lvl>
    <w:lvl w:ilvl="6" w:tplc="9F2CF8DE" w:tentative="1">
      <w:start w:val="1"/>
      <w:numFmt w:val="bullet"/>
      <w:lvlText w:val=""/>
      <w:lvlJc w:val="left"/>
      <w:pPr>
        <w:tabs>
          <w:tab w:val="num" w:pos="5040"/>
        </w:tabs>
        <w:ind w:left="5040" w:hanging="360"/>
      </w:pPr>
      <w:rPr>
        <w:rFonts w:ascii="Symbol" w:hAnsi="Symbol" w:hint="default"/>
      </w:rPr>
    </w:lvl>
    <w:lvl w:ilvl="7" w:tplc="21B80AFC" w:tentative="1">
      <w:start w:val="1"/>
      <w:numFmt w:val="bullet"/>
      <w:lvlText w:val=""/>
      <w:lvlJc w:val="left"/>
      <w:pPr>
        <w:tabs>
          <w:tab w:val="num" w:pos="5760"/>
        </w:tabs>
        <w:ind w:left="5760" w:hanging="360"/>
      </w:pPr>
      <w:rPr>
        <w:rFonts w:ascii="Symbol" w:hAnsi="Symbol" w:hint="default"/>
      </w:rPr>
    </w:lvl>
    <w:lvl w:ilvl="8" w:tplc="A2FE72FE" w:tentative="1">
      <w:start w:val="1"/>
      <w:numFmt w:val="bullet"/>
      <w:lvlText w:val=""/>
      <w:lvlJc w:val="left"/>
      <w:pPr>
        <w:tabs>
          <w:tab w:val="num" w:pos="6480"/>
        </w:tabs>
        <w:ind w:left="6480" w:hanging="360"/>
      </w:pPr>
      <w:rPr>
        <w:rFonts w:ascii="Symbol" w:hAnsi="Symbol" w:hint="default"/>
      </w:rPr>
    </w:lvl>
  </w:abstractNum>
  <w:abstractNum w:abstractNumId="5">
    <w:nsid w:val="5FE362B1"/>
    <w:multiLevelType w:val="hybridMultilevel"/>
    <w:tmpl w:val="616E28BA"/>
    <w:lvl w:ilvl="0" w:tplc="BA943A3A">
      <w:start w:val="1"/>
      <w:numFmt w:val="bullet"/>
      <w:pStyle w:val="FA-Alfa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503EB6"/>
    <w:multiLevelType w:val="hybridMultilevel"/>
    <w:tmpl w:val="131EC9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340ED7"/>
    <w:multiLevelType w:val="hybridMultilevel"/>
    <w:tmpl w:val="2B607764"/>
    <w:lvl w:ilvl="0" w:tplc="93E2C586">
      <w:start w:val="1"/>
      <w:numFmt w:val="decimalZero"/>
      <w:pStyle w:val="FA-Fnumber"/>
      <w:lvlText w:val="Figur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C07C7C"/>
    <w:multiLevelType w:val="multilevel"/>
    <w:tmpl w:val="02C6B10A"/>
    <w:lvl w:ilvl="0">
      <w:start w:val="1"/>
      <w:numFmt w:val="decimal"/>
      <w:pStyle w:val="FA-MainHeader"/>
      <w:lvlText w:val="%1."/>
      <w:lvlJc w:val="left"/>
      <w:pPr>
        <w:ind w:left="360" w:hanging="360"/>
      </w:pPr>
    </w:lvl>
    <w:lvl w:ilvl="1">
      <w:start w:val="1"/>
      <w:numFmt w:val="decimal"/>
      <w:pStyle w:val="FA-SubHeader"/>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8"/>
  </w:num>
  <w:num w:numId="4">
    <w:abstractNumId w:val="2"/>
  </w:num>
  <w:num w:numId="5">
    <w:abstractNumId w:val="7"/>
  </w:num>
  <w:num w:numId="6">
    <w:abstractNumId w:val="1"/>
  </w:num>
  <w:num w:numId="7">
    <w:abstractNumId w:val="6"/>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edit="readOnly" w:enforcement="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F6DA7"/>
    <w:rsid w:val="00005A1C"/>
    <w:rsid w:val="00017933"/>
    <w:rsid w:val="00023F0C"/>
    <w:rsid w:val="0002411F"/>
    <w:rsid w:val="00042851"/>
    <w:rsid w:val="00042F97"/>
    <w:rsid w:val="0005173E"/>
    <w:rsid w:val="000517C2"/>
    <w:rsid w:val="000644C6"/>
    <w:rsid w:val="00066C6C"/>
    <w:rsid w:val="000727C7"/>
    <w:rsid w:val="00081258"/>
    <w:rsid w:val="00085FB2"/>
    <w:rsid w:val="000A01F4"/>
    <w:rsid w:val="000C1F2A"/>
    <w:rsid w:val="000C2E8C"/>
    <w:rsid w:val="000D1538"/>
    <w:rsid w:val="000D5E0A"/>
    <w:rsid w:val="000F531F"/>
    <w:rsid w:val="00102500"/>
    <w:rsid w:val="00123747"/>
    <w:rsid w:val="001308A1"/>
    <w:rsid w:val="00146906"/>
    <w:rsid w:val="001536D3"/>
    <w:rsid w:val="0016312C"/>
    <w:rsid w:val="001678F6"/>
    <w:rsid w:val="001C4D8B"/>
    <w:rsid w:val="001E3DB6"/>
    <w:rsid w:val="00203BA5"/>
    <w:rsid w:val="00224EDB"/>
    <w:rsid w:val="00236E5A"/>
    <w:rsid w:val="00261323"/>
    <w:rsid w:val="00286995"/>
    <w:rsid w:val="002C3793"/>
    <w:rsid w:val="002C7DE7"/>
    <w:rsid w:val="002E30FC"/>
    <w:rsid w:val="003158F1"/>
    <w:rsid w:val="003312F5"/>
    <w:rsid w:val="003553D6"/>
    <w:rsid w:val="00366E6C"/>
    <w:rsid w:val="003717EC"/>
    <w:rsid w:val="00372643"/>
    <w:rsid w:val="00404E33"/>
    <w:rsid w:val="004256D2"/>
    <w:rsid w:val="00435F7F"/>
    <w:rsid w:val="00437EE6"/>
    <w:rsid w:val="004529C4"/>
    <w:rsid w:val="0048024F"/>
    <w:rsid w:val="0049406E"/>
    <w:rsid w:val="004B7AF6"/>
    <w:rsid w:val="004D1287"/>
    <w:rsid w:val="004D153C"/>
    <w:rsid w:val="004D5850"/>
    <w:rsid w:val="004D6B4D"/>
    <w:rsid w:val="004D7AB9"/>
    <w:rsid w:val="004F1F16"/>
    <w:rsid w:val="004F5803"/>
    <w:rsid w:val="005332C2"/>
    <w:rsid w:val="00557DE5"/>
    <w:rsid w:val="00576360"/>
    <w:rsid w:val="005863B9"/>
    <w:rsid w:val="005A3449"/>
    <w:rsid w:val="005B2003"/>
    <w:rsid w:val="005B2B66"/>
    <w:rsid w:val="005B3BEF"/>
    <w:rsid w:val="005D7483"/>
    <w:rsid w:val="005F30B5"/>
    <w:rsid w:val="00612033"/>
    <w:rsid w:val="0061631F"/>
    <w:rsid w:val="00641E8E"/>
    <w:rsid w:val="00643603"/>
    <w:rsid w:val="00644ECB"/>
    <w:rsid w:val="00646153"/>
    <w:rsid w:val="00650659"/>
    <w:rsid w:val="00654500"/>
    <w:rsid w:val="00660C79"/>
    <w:rsid w:val="00664E6D"/>
    <w:rsid w:val="00673FA9"/>
    <w:rsid w:val="00685C6F"/>
    <w:rsid w:val="00686E75"/>
    <w:rsid w:val="006A7AD5"/>
    <w:rsid w:val="006E237A"/>
    <w:rsid w:val="006F58B1"/>
    <w:rsid w:val="006F5AB4"/>
    <w:rsid w:val="006F799F"/>
    <w:rsid w:val="0071639A"/>
    <w:rsid w:val="0071776E"/>
    <w:rsid w:val="00722701"/>
    <w:rsid w:val="007504B3"/>
    <w:rsid w:val="00772C3A"/>
    <w:rsid w:val="007946BE"/>
    <w:rsid w:val="0079634B"/>
    <w:rsid w:val="007A54A1"/>
    <w:rsid w:val="007A75DE"/>
    <w:rsid w:val="007E1816"/>
    <w:rsid w:val="007F495A"/>
    <w:rsid w:val="007F5130"/>
    <w:rsid w:val="0081381A"/>
    <w:rsid w:val="0085249C"/>
    <w:rsid w:val="0088252C"/>
    <w:rsid w:val="00890CE4"/>
    <w:rsid w:val="008948D7"/>
    <w:rsid w:val="008D06C7"/>
    <w:rsid w:val="008E4E3C"/>
    <w:rsid w:val="008E54BE"/>
    <w:rsid w:val="009069C3"/>
    <w:rsid w:val="00926529"/>
    <w:rsid w:val="009813D4"/>
    <w:rsid w:val="00990404"/>
    <w:rsid w:val="009906F6"/>
    <w:rsid w:val="009D146C"/>
    <w:rsid w:val="009E27F5"/>
    <w:rsid w:val="009E66DA"/>
    <w:rsid w:val="009F4B77"/>
    <w:rsid w:val="009F6282"/>
    <w:rsid w:val="009F6DA7"/>
    <w:rsid w:val="00A035BA"/>
    <w:rsid w:val="00A23298"/>
    <w:rsid w:val="00A2510C"/>
    <w:rsid w:val="00A546D1"/>
    <w:rsid w:val="00A55251"/>
    <w:rsid w:val="00A63B1D"/>
    <w:rsid w:val="00A94EB6"/>
    <w:rsid w:val="00AC41E9"/>
    <w:rsid w:val="00AE133D"/>
    <w:rsid w:val="00AF1B7B"/>
    <w:rsid w:val="00B03CEA"/>
    <w:rsid w:val="00B338B3"/>
    <w:rsid w:val="00B50A73"/>
    <w:rsid w:val="00B6303D"/>
    <w:rsid w:val="00BA1DD9"/>
    <w:rsid w:val="00BA1EE3"/>
    <w:rsid w:val="00BC253A"/>
    <w:rsid w:val="00BD0C20"/>
    <w:rsid w:val="00BE5BD5"/>
    <w:rsid w:val="00BE7F17"/>
    <w:rsid w:val="00C2527C"/>
    <w:rsid w:val="00C33F2E"/>
    <w:rsid w:val="00C33FCA"/>
    <w:rsid w:val="00C42466"/>
    <w:rsid w:val="00C709E5"/>
    <w:rsid w:val="00C81D34"/>
    <w:rsid w:val="00C823CC"/>
    <w:rsid w:val="00CB4406"/>
    <w:rsid w:val="00CC3DE4"/>
    <w:rsid w:val="00CE34CC"/>
    <w:rsid w:val="00CE53C2"/>
    <w:rsid w:val="00CE687A"/>
    <w:rsid w:val="00CF4672"/>
    <w:rsid w:val="00D0042C"/>
    <w:rsid w:val="00D011CC"/>
    <w:rsid w:val="00D13D93"/>
    <w:rsid w:val="00D173E1"/>
    <w:rsid w:val="00D216F1"/>
    <w:rsid w:val="00D276F5"/>
    <w:rsid w:val="00D52E10"/>
    <w:rsid w:val="00D64B60"/>
    <w:rsid w:val="00D718E9"/>
    <w:rsid w:val="00D842D8"/>
    <w:rsid w:val="00D9066B"/>
    <w:rsid w:val="00D96D85"/>
    <w:rsid w:val="00DA1142"/>
    <w:rsid w:val="00DC409E"/>
    <w:rsid w:val="00DE508E"/>
    <w:rsid w:val="00E6556D"/>
    <w:rsid w:val="00E768AA"/>
    <w:rsid w:val="00EA2DA2"/>
    <w:rsid w:val="00EB5E67"/>
    <w:rsid w:val="00EC451C"/>
    <w:rsid w:val="00ED3173"/>
    <w:rsid w:val="00ED5372"/>
    <w:rsid w:val="00EE497F"/>
    <w:rsid w:val="00EF68E2"/>
    <w:rsid w:val="00F12131"/>
    <w:rsid w:val="00F13966"/>
    <w:rsid w:val="00F239A2"/>
    <w:rsid w:val="00F24863"/>
    <w:rsid w:val="00F252A2"/>
    <w:rsid w:val="00F26D62"/>
    <w:rsid w:val="00F351A5"/>
    <w:rsid w:val="00F60625"/>
    <w:rsid w:val="00F648B7"/>
    <w:rsid w:val="00F74B55"/>
    <w:rsid w:val="00F77238"/>
    <w:rsid w:val="00F81BDA"/>
    <w:rsid w:val="00F83BA8"/>
    <w:rsid w:val="00F96B80"/>
    <w:rsid w:val="00FC43C8"/>
    <w:rsid w:val="00FD70E3"/>
    <w:rsid w:val="00FF0B1B"/>
    <w:rsid w:val="00FF15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7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6DA7"/>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9F6DA7"/>
  </w:style>
  <w:style w:type="paragraph" w:styleId="a5">
    <w:name w:val="footer"/>
    <w:basedOn w:val="a"/>
    <w:link w:val="a6"/>
    <w:uiPriority w:val="99"/>
    <w:unhideWhenUsed/>
    <w:rsid w:val="009F6DA7"/>
    <w:pPr>
      <w:tabs>
        <w:tab w:val="center" w:pos="4513"/>
        <w:tab w:val="right" w:pos="9026"/>
      </w:tabs>
      <w:spacing w:after="0" w:line="240" w:lineRule="auto"/>
    </w:pPr>
  </w:style>
  <w:style w:type="character" w:customStyle="1" w:styleId="a6">
    <w:name w:val="Нижний колонтитул Знак"/>
    <w:basedOn w:val="a0"/>
    <w:link w:val="a5"/>
    <w:uiPriority w:val="99"/>
    <w:rsid w:val="009F6DA7"/>
  </w:style>
  <w:style w:type="paragraph" w:customStyle="1" w:styleId="FA-AbstractStyle">
    <w:name w:val="FA-Abstract Style"/>
    <w:basedOn w:val="a"/>
    <w:link w:val="FA-AbstractStyleChar"/>
    <w:qFormat/>
    <w:rsid w:val="00203BA5"/>
    <w:pPr>
      <w:spacing w:after="0" w:line="276" w:lineRule="auto"/>
      <w:jc w:val="center"/>
    </w:pPr>
    <w:rPr>
      <w:rFonts w:ascii="Times New Roman" w:hAnsi="Times New Roman" w:cs="Times New Roman"/>
      <w:b/>
      <w:i/>
      <w:sz w:val="24"/>
      <w:szCs w:val="24"/>
    </w:rPr>
  </w:style>
  <w:style w:type="paragraph" w:customStyle="1" w:styleId="FA-Paragraphtext">
    <w:name w:val="FA-Paragraph text"/>
    <w:basedOn w:val="a"/>
    <w:link w:val="FA-ParagraphtextChar"/>
    <w:qFormat/>
    <w:rsid w:val="007A75DE"/>
    <w:pPr>
      <w:spacing w:after="0" w:line="312" w:lineRule="auto"/>
      <w:ind w:firstLine="567"/>
      <w:jc w:val="both"/>
    </w:pPr>
    <w:rPr>
      <w:rFonts w:ascii="Times New Roman" w:hAnsi="Times New Roman" w:cs="Times New Roman"/>
      <w:sz w:val="20"/>
      <w:szCs w:val="20"/>
    </w:rPr>
  </w:style>
  <w:style w:type="character" w:customStyle="1" w:styleId="FA-AbstractStyleChar">
    <w:name w:val="FA-Abstract Style Char"/>
    <w:basedOn w:val="a0"/>
    <w:link w:val="FA-AbstractStyle"/>
    <w:rsid w:val="00203BA5"/>
    <w:rPr>
      <w:rFonts w:ascii="Times New Roman" w:hAnsi="Times New Roman" w:cs="Times New Roman"/>
      <w:b/>
      <w:i/>
      <w:sz w:val="24"/>
      <w:szCs w:val="24"/>
    </w:rPr>
  </w:style>
  <w:style w:type="paragraph" w:customStyle="1" w:styleId="FA-Break">
    <w:name w:val="FA-Break"/>
    <w:basedOn w:val="a"/>
    <w:link w:val="FA-BreakChar"/>
    <w:qFormat/>
    <w:rsid w:val="007A75DE"/>
    <w:pPr>
      <w:spacing w:after="0" w:line="276" w:lineRule="auto"/>
      <w:jc w:val="center"/>
    </w:pPr>
    <w:rPr>
      <w:rFonts w:ascii="Times New Roman" w:hAnsi="Times New Roman" w:cs="Times New Roman"/>
      <w:sz w:val="20"/>
      <w:szCs w:val="20"/>
    </w:rPr>
  </w:style>
  <w:style w:type="character" w:customStyle="1" w:styleId="FA-ParagraphtextChar">
    <w:name w:val="FA-Paragraph text Char"/>
    <w:basedOn w:val="a0"/>
    <w:link w:val="FA-Paragraphtext"/>
    <w:rsid w:val="007A75DE"/>
    <w:rPr>
      <w:rFonts w:ascii="Times New Roman" w:hAnsi="Times New Roman" w:cs="Times New Roman"/>
      <w:sz w:val="20"/>
      <w:szCs w:val="20"/>
    </w:rPr>
  </w:style>
  <w:style w:type="paragraph" w:styleId="a7">
    <w:name w:val="List Paragraph"/>
    <w:basedOn w:val="a"/>
    <w:uiPriority w:val="34"/>
    <w:qFormat/>
    <w:rsid w:val="00FF0B1B"/>
    <w:pPr>
      <w:ind w:left="720"/>
      <w:contextualSpacing/>
    </w:pPr>
  </w:style>
  <w:style w:type="character" w:customStyle="1" w:styleId="FA-BreakChar">
    <w:name w:val="FA-Break Char"/>
    <w:basedOn w:val="a0"/>
    <w:link w:val="FA-Break"/>
    <w:rsid w:val="007A75DE"/>
    <w:rPr>
      <w:rFonts w:ascii="Times New Roman" w:hAnsi="Times New Roman" w:cs="Times New Roman"/>
      <w:sz w:val="20"/>
      <w:szCs w:val="20"/>
    </w:rPr>
  </w:style>
  <w:style w:type="paragraph" w:customStyle="1" w:styleId="FA-MainHeader">
    <w:name w:val="FA-Main Header"/>
    <w:basedOn w:val="FA-Break"/>
    <w:link w:val="FA-MainHeaderChar"/>
    <w:qFormat/>
    <w:rsid w:val="0049406E"/>
    <w:pPr>
      <w:numPr>
        <w:numId w:val="3"/>
      </w:numPr>
      <w:spacing w:after="120"/>
      <w:ind w:left="426" w:hanging="426"/>
      <w:jc w:val="left"/>
    </w:pPr>
    <w:rPr>
      <w:b/>
      <w:sz w:val="24"/>
      <w:szCs w:val="24"/>
    </w:rPr>
  </w:style>
  <w:style w:type="table" w:styleId="a8">
    <w:name w:val="Table Grid"/>
    <w:basedOn w:val="a1"/>
    <w:uiPriority w:val="39"/>
    <w:rsid w:val="007F4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MainHeaderChar">
    <w:name w:val="FA-Main Header Char"/>
    <w:basedOn w:val="FA-BreakChar"/>
    <w:link w:val="FA-MainHeader"/>
    <w:rsid w:val="0049406E"/>
    <w:rPr>
      <w:rFonts w:ascii="Times New Roman" w:hAnsi="Times New Roman" w:cs="Times New Roman"/>
      <w:b/>
      <w:sz w:val="24"/>
      <w:szCs w:val="24"/>
    </w:rPr>
  </w:style>
  <w:style w:type="paragraph" w:customStyle="1" w:styleId="FA-Tableheading">
    <w:name w:val="FA-Table heading"/>
    <w:basedOn w:val="a"/>
    <w:link w:val="FA-TableheadingChar"/>
    <w:qFormat/>
    <w:rsid w:val="007F495A"/>
    <w:pPr>
      <w:spacing w:after="0" w:line="240" w:lineRule="auto"/>
      <w:jc w:val="center"/>
    </w:pPr>
    <w:rPr>
      <w:rFonts w:ascii="Times New Roman" w:hAnsi="Times New Roman" w:cs="Times New Roman"/>
      <w:b/>
      <w:sz w:val="20"/>
      <w:szCs w:val="20"/>
    </w:rPr>
  </w:style>
  <w:style w:type="paragraph" w:customStyle="1" w:styleId="FA-Table">
    <w:name w:val="FA-Table"/>
    <w:basedOn w:val="FA-Tableheading"/>
    <w:link w:val="FA-TableChar"/>
    <w:qFormat/>
    <w:rsid w:val="00123747"/>
    <w:rPr>
      <w:b w:val="0"/>
    </w:rPr>
  </w:style>
  <w:style w:type="character" w:customStyle="1" w:styleId="FA-TableheadingChar">
    <w:name w:val="FA-Table heading Char"/>
    <w:basedOn w:val="a0"/>
    <w:link w:val="FA-Tableheading"/>
    <w:rsid w:val="007F495A"/>
    <w:rPr>
      <w:rFonts w:ascii="Times New Roman" w:hAnsi="Times New Roman" w:cs="Times New Roman"/>
      <w:b/>
      <w:sz w:val="20"/>
      <w:szCs w:val="20"/>
    </w:rPr>
  </w:style>
  <w:style w:type="paragraph" w:customStyle="1" w:styleId="FA-Tnumbers">
    <w:name w:val="FA-T numbers"/>
    <w:basedOn w:val="FA-Break"/>
    <w:link w:val="FA-TnumbersChar"/>
    <w:qFormat/>
    <w:rsid w:val="005D7483"/>
    <w:pPr>
      <w:numPr>
        <w:numId w:val="4"/>
      </w:numPr>
      <w:ind w:left="907" w:hanging="907"/>
      <w:jc w:val="left"/>
    </w:pPr>
  </w:style>
  <w:style w:type="character" w:customStyle="1" w:styleId="FA-TableChar">
    <w:name w:val="FA-Table Char"/>
    <w:basedOn w:val="FA-TableheadingChar"/>
    <w:link w:val="FA-Table"/>
    <w:rsid w:val="00123747"/>
    <w:rPr>
      <w:rFonts w:ascii="Times New Roman" w:hAnsi="Times New Roman" w:cs="Times New Roman"/>
      <w:b w:val="0"/>
      <w:sz w:val="20"/>
      <w:szCs w:val="20"/>
    </w:rPr>
  </w:style>
  <w:style w:type="paragraph" w:customStyle="1" w:styleId="FA-FNumber0">
    <w:name w:val="FA-F Number"/>
    <w:basedOn w:val="FA-Tnumbers"/>
    <w:link w:val="FA-FNumberChar"/>
    <w:qFormat/>
    <w:rsid w:val="005D7483"/>
  </w:style>
  <w:style w:type="character" w:customStyle="1" w:styleId="FA-TnumbersChar">
    <w:name w:val="FA-T numbers Char"/>
    <w:basedOn w:val="FA-BreakChar"/>
    <w:link w:val="FA-Tnumbers"/>
    <w:rsid w:val="005D7483"/>
    <w:rPr>
      <w:rFonts w:ascii="Times New Roman" w:hAnsi="Times New Roman" w:cs="Times New Roman"/>
      <w:sz w:val="20"/>
      <w:szCs w:val="20"/>
    </w:rPr>
  </w:style>
  <w:style w:type="paragraph" w:customStyle="1" w:styleId="FA-Fnumber">
    <w:name w:val="FA-F number"/>
    <w:basedOn w:val="FA-Break"/>
    <w:link w:val="FA-FnumberChar0"/>
    <w:qFormat/>
    <w:rsid w:val="005D7483"/>
    <w:pPr>
      <w:numPr>
        <w:numId w:val="5"/>
      </w:numPr>
      <w:ind w:left="964" w:hanging="964"/>
      <w:jc w:val="left"/>
    </w:pPr>
  </w:style>
  <w:style w:type="character" w:customStyle="1" w:styleId="FA-FNumberChar">
    <w:name w:val="FA-F Number Char"/>
    <w:basedOn w:val="FA-TnumbersChar"/>
    <w:link w:val="FA-FNumber0"/>
    <w:rsid w:val="005D7483"/>
    <w:rPr>
      <w:rFonts w:ascii="Times New Roman" w:hAnsi="Times New Roman" w:cs="Times New Roman"/>
      <w:sz w:val="20"/>
      <w:szCs w:val="20"/>
    </w:rPr>
  </w:style>
  <w:style w:type="paragraph" w:customStyle="1" w:styleId="FA-RefHeader">
    <w:name w:val="FA-Ref. Header"/>
    <w:basedOn w:val="FA-Break"/>
    <w:link w:val="FA-RefHeaderChar"/>
    <w:qFormat/>
    <w:rsid w:val="00E768AA"/>
    <w:pPr>
      <w:spacing w:after="120"/>
      <w:jc w:val="left"/>
    </w:pPr>
    <w:rPr>
      <w:b/>
      <w:sz w:val="24"/>
      <w:szCs w:val="24"/>
    </w:rPr>
  </w:style>
  <w:style w:type="character" w:customStyle="1" w:styleId="FA-FnumberChar0">
    <w:name w:val="FA-F number Char"/>
    <w:basedOn w:val="FA-BreakChar"/>
    <w:link w:val="FA-Fnumber"/>
    <w:rsid w:val="005D7483"/>
    <w:rPr>
      <w:rFonts w:ascii="Times New Roman" w:hAnsi="Times New Roman" w:cs="Times New Roman"/>
      <w:sz w:val="20"/>
      <w:szCs w:val="20"/>
    </w:rPr>
  </w:style>
  <w:style w:type="character" w:styleId="a9">
    <w:name w:val="Hyperlink"/>
    <w:rsid w:val="00EB5E67"/>
    <w:rPr>
      <w:color w:val="auto"/>
      <w:sz w:val="16"/>
      <w:u w:val="none"/>
    </w:rPr>
  </w:style>
  <w:style w:type="character" w:customStyle="1" w:styleId="FA-RefHeaderChar">
    <w:name w:val="FA-Ref. Header Char"/>
    <w:basedOn w:val="FA-BreakChar"/>
    <w:link w:val="FA-RefHeader"/>
    <w:rsid w:val="00E768AA"/>
    <w:rPr>
      <w:rFonts w:ascii="Times New Roman" w:hAnsi="Times New Roman" w:cs="Times New Roman"/>
      <w:b/>
      <w:sz w:val="24"/>
      <w:szCs w:val="24"/>
    </w:rPr>
  </w:style>
  <w:style w:type="paragraph" w:customStyle="1" w:styleId="FA-Footer">
    <w:name w:val="FA-Footer"/>
    <w:basedOn w:val="a3"/>
    <w:link w:val="FA-FooterChar"/>
    <w:qFormat/>
    <w:rsid w:val="00EB5E67"/>
    <w:pPr>
      <w:tabs>
        <w:tab w:val="center" w:pos="4920"/>
      </w:tabs>
    </w:pPr>
    <w:rPr>
      <w:rFonts w:ascii="Times New Roman" w:hAnsi="Times New Roman" w:cs="Times New Roman"/>
      <w:i/>
      <w:color w:val="7F7F7F" w:themeColor="text1" w:themeTint="80"/>
      <w:sz w:val="16"/>
      <w:szCs w:val="16"/>
    </w:rPr>
  </w:style>
  <w:style w:type="paragraph" w:customStyle="1" w:styleId="FA-ConfTitle">
    <w:name w:val="FA-Conf.Title"/>
    <w:basedOn w:val="a"/>
    <w:link w:val="FA-ConfTitleChar"/>
    <w:qFormat/>
    <w:rsid w:val="00EB5E67"/>
    <w:pPr>
      <w:spacing w:after="0" w:line="276" w:lineRule="auto"/>
      <w:jc w:val="center"/>
    </w:pPr>
    <w:rPr>
      <w:rFonts w:ascii="Times New Roman" w:hAnsi="Times New Roman" w:cs="Times New Roman"/>
      <w:b/>
      <w:color w:val="C00000"/>
      <w:sz w:val="32"/>
      <w:szCs w:val="28"/>
    </w:rPr>
  </w:style>
  <w:style w:type="character" w:customStyle="1" w:styleId="FA-FooterChar">
    <w:name w:val="FA-Footer Char"/>
    <w:basedOn w:val="a4"/>
    <w:link w:val="FA-Footer"/>
    <w:rsid w:val="00EB5E67"/>
    <w:rPr>
      <w:rFonts w:ascii="Times New Roman" w:hAnsi="Times New Roman" w:cs="Times New Roman"/>
      <w:i/>
      <w:color w:val="7F7F7F" w:themeColor="text1" w:themeTint="80"/>
      <w:sz w:val="16"/>
      <w:szCs w:val="16"/>
    </w:rPr>
  </w:style>
  <w:style w:type="paragraph" w:customStyle="1" w:styleId="FA-PaperTitle">
    <w:name w:val="FA-Paper Title"/>
    <w:basedOn w:val="a"/>
    <w:link w:val="FA-PaperTitleChar"/>
    <w:qFormat/>
    <w:rsid w:val="000727C7"/>
    <w:pPr>
      <w:spacing w:after="0" w:line="276" w:lineRule="auto"/>
      <w:jc w:val="center"/>
    </w:pPr>
    <w:rPr>
      <w:rFonts w:ascii="Times New Roman" w:hAnsi="Times New Roman" w:cs="Times New Roman"/>
      <w:b/>
      <w:color w:val="000000" w:themeColor="text1"/>
      <w:sz w:val="28"/>
      <w:szCs w:val="28"/>
    </w:rPr>
  </w:style>
  <w:style w:type="character" w:customStyle="1" w:styleId="FA-ConfTitleChar">
    <w:name w:val="FA-Conf.Title Char"/>
    <w:basedOn w:val="a0"/>
    <w:link w:val="FA-ConfTitle"/>
    <w:rsid w:val="00EB5E67"/>
    <w:rPr>
      <w:rFonts w:ascii="Times New Roman" w:hAnsi="Times New Roman" w:cs="Times New Roman"/>
      <w:b/>
      <w:color w:val="C00000"/>
      <w:sz w:val="32"/>
      <w:szCs w:val="28"/>
    </w:rPr>
  </w:style>
  <w:style w:type="paragraph" w:customStyle="1" w:styleId="FA-Authors">
    <w:name w:val="FA-Authors"/>
    <w:basedOn w:val="a"/>
    <w:qFormat/>
    <w:rsid w:val="000727C7"/>
    <w:pPr>
      <w:spacing w:after="0" w:line="276" w:lineRule="auto"/>
      <w:jc w:val="center"/>
    </w:pPr>
    <w:rPr>
      <w:rFonts w:ascii="Times New Roman" w:hAnsi="Times New Roman" w:cs="Times New Roman"/>
    </w:rPr>
  </w:style>
  <w:style w:type="character" w:customStyle="1" w:styleId="FA-PaperTitleChar">
    <w:name w:val="FA-Paper Title Char"/>
    <w:basedOn w:val="a0"/>
    <w:link w:val="FA-PaperTitle"/>
    <w:rsid w:val="000727C7"/>
    <w:rPr>
      <w:rFonts w:ascii="Times New Roman" w:hAnsi="Times New Roman" w:cs="Times New Roman"/>
      <w:b/>
      <w:color w:val="000000" w:themeColor="text1"/>
      <w:sz w:val="28"/>
      <w:szCs w:val="28"/>
    </w:rPr>
  </w:style>
  <w:style w:type="paragraph" w:customStyle="1" w:styleId="FA-Affiliations">
    <w:name w:val="FA-Affiliations"/>
    <w:basedOn w:val="a"/>
    <w:qFormat/>
    <w:rsid w:val="007504B3"/>
    <w:pPr>
      <w:spacing w:after="0" w:line="276" w:lineRule="auto"/>
      <w:jc w:val="center"/>
    </w:pPr>
    <w:rPr>
      <w:rFonts w:ascii="Times New Roman" w:hAnsi="Times New Roman" w:cs="Times New Roman"/>
      <w:sz w:val="18"/>
      <w:szCs w:val="18"/>
    </w:rPr>
  </w:style>
  <w:style w:type="paragraph" w:customStyle="1" w:styleId="FA-AlfaH">
    <w:name w:val="FA-Alfa H"/>
    <w:basedOn w:val="FA-Break"/>
    <w:link w:val="FA-AlfaHChar"/>
    <w:qFormat/>
    <w:rsid w:val="00042F97"/>
    <w:pPr>
      <w:numPr>
        <w:numId w:val="8"/>
      </w:numPr>
      <w:ind w:left="851" w:hanging="284"/>
      <w:jc w:val="left"/>
    </w:pPr>
  </w:style>
  <w:style w:type="character" w:customStyle="1" w:styleId="FA-AlfaHChar">
    <w:name w:val="FA-Alfa H Char"/>
    <w:basedOn w:val="FA-BreakChar"/>
    <w:link w:val="FA-AlfaH"/>
    <w:rsid w:val="00042F97"/>
    <w:rPr>
      <w:rFonts w:ascii="Times New Roman" w:hAnsi="Times New Roman" w:cs="Times New Roman"/>
      <w:sz w:val="20"/>
      <w:szCs w:val="20"/>
    </w:rPr>
  </w:style>
  <w:style w:type="paragraph" w:styleId="aa">
    <w:name w:val="Balloon Text"/>
    <w:basedOn w:val="a"/>
    <w:link w:val="ab"/>
    <w:uiPriority w:val="99"/>
    <w:semiHidden/>
    <w:unhideWhenUsed/>
    <w:rsid w:val="004F1F16"/>
    <w:pPr>
      <w:spacing w:after="0" w:line="240" w:lineRule="auto"/>
    </w:pPr>
    <w:rPr>
      <w:rFonts w:ascii="Lucida Grande" w:hAnsi="Lucida Grande" w:cs="Lucida Grande"/>
      <w:sz w:val="18"/>
      <w:szCs w:val="18"/>
    </w:rPr>
  </w:style>
  <w:style w:type="character" w:customStyle="1" w:styleId="ab">
    <w:name w:val="Текст выноски Знак"/>
    <w:basedOn w:val="a0"/>
    <w:link w:val="aa"/>
    <w:uiPriority w:val="99"/>
    <w:semiHidden/>
    <w:rsid w:val="004F1F16"/>
    <w:rPr>
      <w:rFonts w:ascii="Lucida Grande" w:hAnsi="Lucida Grande" w:cs="Lucida Grande"/>
      <w:sz w:val="18"/>
      <w:szCs w:val="18"/>
    </w:rPr>
  </w:style>
  <w:style w:type="paragraph" w:customStyle="1" w:styleId="FA-RefText">
    <w:name w:val="FA-Ref. Text"/>
    <w:basedOn w:val="a"/>
    <w:qFormat/>
    <w:rsid w:val="00F83BA8"/>
    <w:pPr>
      <w:spacing w:after="0" w:line="276" w:lineRule="auto"/>
      <w:ind w:left="567" w:hanging="567"/>
      <w:jc w:val="both"/>
    </w:pPr>
    <w:rPr>
      <w:rFonts w:ascii="Times New Roman" w:hAnsi="Times New Roman" w:cs="Times New Roman"/>
      <w:sz w:val="20"/>
      <w:szCs w:val="20"/>
    </w:rPr>
  </w:style>
  <w:style w:type="paragraph" w:customStyle="1" w:styleId="FA-SubHeader">
    <w:name w:val="FA-Sub Header"/>
    <w:basedOn w:val="FA-MainHeader"/>
    <w:qFormat/>
    <w:rsid w:val="005B3BEF"/>
    <w:pPr>
      <w:numPr>
        <w:ilvl w:val="1"/>
      </w:numPr>
      <w:ind w:left="851"/>
    </w:pPr>
    <w:rPr>
      <w:sz w:val="20"/>
      <w:szCs w:val="20"/>
    </w:rPr>
  </w:style>
  <w:style w:type="character" w:styleId="ac">
    <w:name w:val="FollowedHyperlink"/>
    <w:basedOn w:val="a0"/>
    <w:uiPriority w:val="99"/>
    <w:semiHidden/>
    <w:unhideWhenUsed/>
    <w:rsid w:val="007F513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64030413">
      <w:bodyDiv w:val="1"/>
      <w:marLeft w:val="0"/>
      <w:marRight w:val="0"/>
      <w:marTop w:val="0"/>
      <w:marBottom w:val="0"/>
      <w:divBdr>
        <w:top w:val="none" w:sz="0" w:space="0" w:color="auto"/>
        <w:left w:val="none" w:sz="0" w:space="0" w:color="auto"/>
        <w:bottom w:val="none" w:sz="0" w:space="0" w:color="auto"/>
        <w:right w:val="none" w:sz="0" w:space="0" w:color="auto"/>
      </w:divBdr>
    </w:div>
    <w:div w:id="895581863">
      <w:bodyDiv w:val="1"/>
      <w:marLeft w:val="0"/>
      <w:marRight w:val="0"/>
      <w:marTop w:val="0"/>
      <w:marBottom w:val="0"/>
      <w:divBdr>
        <w:top w:val="none" w:sz="0" w:space="0" w:color="auto"/>
        <w:left w:val="none" w:sz="0" w:space="0" w:color="auto"/>
        <w:bottom w:val="none" w:sz="0" w:space="0" w:color="auto"/>
        <w:right w:val="none" w:sz="0" w:space="0" w:color="auto"/>
      </w:divBdr>
    </w:div>
    <w:div w:id="179524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3758/s13414-014-082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4.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dx.do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8FB18-8A30-4767-A668-536FA8C7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2960</Words>
  <Characters>16876</Characters>
  <Application>Microsoft Office Word</Application>
  <DocSecurity>8</DocSecurity>
  <Lines>140</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Bristol-Myers Squibb Company</Company>
  <LinksUpToDate>false</LinksUpToDate>
  <CharactersWithSpaces>19797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Koutny, Michal</dc:creator>
  <cp:lastModifiedBy>User</cp:lastModifiedBy>
  <cp:revision>2</cp:revision>
  <dcterms:created xsi:type="dcterms:W3CDTF">2017-11-20T10:41:00Z</dcterms:created>
  <dcterms:modified xsi:type="dcterms:W3CDTF">2017-11-20T10:41:00Z</dcterms:modified>
</cp:coreProperties>
</file>