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152</w:t>
      </w: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0"/>
          <w:lang w:eastAsia="ru-RU"/>
        </w:rPr>
      </w:pPr>
      <w:bookmarkStart w:id="0" w:name="_GoBack"/>
      <w:r w:rsidRPr="00185E76">
        <w:rPr>
          <w:rFonts w:eastAsia="Times New Roman"/>
          <w:b/>
          <w:bCs/>
          <w:sz w:val="28"/>
          <w:szCs w:val="20"/>
          <w:lang w:eastAsia="ru-RU"/>
        </w:rPr>
        <w:t>ВОЗМОЖНОСТИ АНАЛИЗА УРОВНЯ ПРИТЯЗАНИЙ ПРИ ПРИМЕНЕНИИ КОМПЬЮТЕРА</w:t>
      </w:r>
    </w:p>
    <w:bookmarkEnd w:id="0"/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0"/>
          <w:lang w:eastAsia="ru-RU"/>
        </w:rPr>
      </w:pPr>
      <w:r w:rsidRPr="00185E76">
        <w:rPr>
          <w:rFonts w:eastAsia="Times New Roman"/>
          <w:b/>
          <w:bCs/>
          <w:szCs w:val="20"/>
          <w:lang w:eastAsia="ru-RU"/>
        </w:rPr>
        <w:t>О. Н. АРЕСТОВА, Л. Н БАБАНИН, О. К. ТИХОМИРОВ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Одно из направлений развития психологической науки состоит в том, что некоторые исследовательские приемы, применяемые в чисто экспериментальных целях, обнаруживают связь с определенными психическими свойствами, чертами личности, качествами характера, индивидуальными особенностями интеллекта. Исследовательский метод, используемый в качестве средства анализа, постепенно сам становится объектом специального изучения с точки зрения наличия или отсутствия такого рода связи. Происходит преобразование, развитие исследовательского метода в метод практической психологии, психодиагностический метод. Множество психодиагностических методов, существующих в настоящее время, возникло именно таким способом. </w:t>
      </w:r>
      <w:proofErr w:type="gramStart"/>
      <w:r w:rsidRPr="00185E76">
        <w:rPr>
          <w:rFonts w:eastAsia="Times New Roman"/>
          <w:szCs w:val="20"/>
          <w:lang w:eastAsia="ru-RU"/>
        </w:rPr>
        <w:t>Зародившись в какой-либо из психологических школ в качестве экспериментально-исследовательских методик, эти процедуры постепенно эмансипировались от конкретных исследовательских задач, а затем и от самих психологических школ, сохранив с ними главным образом лишь историческую, этимологическую связь.</w:t>
      </w:r>
      <w:proofErr w:type="gramEnd"/>
      <w:r w:rsidRPr="00185E76">
        <w:rPr>
          <w:rFonts w:eastAsia="Times New Roman"/>
          <w:szCs w:val="20"/>
          <w:lang w:eastAsia="ru-RU"/>
        </w:rPr>
        <w:t xml:space="preserve"> С этой точки зрения не составляет исключения и возникший в школе К. Левина метод анализа уровня притязаний.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Уникальность этого метода с точки зрения его диагностических возможностей определяется ключевым значением изучаемого с его помощью психического процесса — процесса целеполагания. Возможно, и какое другое психическое образование не затрагивает такой комплекс сложных психических процессов. </w:t>
      </w:r>
      <w:proofErr w:type="gramStart"/>
      <w:r w:rsidRPr="00185E76">
        <w:rPr>
          <w:rFonts w:eastAsia="Times New Roman"/>
          <w:szCs w:val="20"/>
          <w:lang w:eastAsia="ru-RU"/>
        </w:rPr>
        <w:t>Центральное положение целеполагания в психической регуляции деятельности объясняется его сложным, системным характером: будучи сама по себе основным процессуальным регулятором деятельности, цель в свою очередь является и объектом регуляции: во-первых, со стороны мотивационно-личностных образований, во-вторых, со стороны объективных условий деятельности, носящих внешний характер, в-третьих, со стороны оценки субъектом собственных возможностей, то есть самооценки личности.</w:t>
      </w:r>
      <w:proofErr w:type="gramEnd"/>
      <w:r w:rsidRPr="00185E76">
        <w:rPr>
          <w:rFonts w:eastAsia="Times New Roman"/>
          <w:szCs w:val="20"/>
          <w:lang w:eastAsia="ru-RU"/>
        </w:rPr>
        <w:t xml:space="preserve"> Цель обладает и самостоятельным психическим статусом, непосредственно переживается субъектом. Таким образом, цель представляет собой сложный психический феномен, значение которого в процессах психической регуляции трудно переоценить.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Метод анализа уровня притязаний представляет собой экспериментальную модель процесса целеполагания, довольно удачно отражающую закономерности выбора цели субъектом в реальной жизни. Многочисленные экспериментальные исследования, выделившие психические детерминанты выбора цели, систематический анализ которых представлен в психологической литературе </w:t>
      </w:r>
      <w:hyperlink r:id="rId5" w:anchor="a1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[1]</w:t>
        </w:r>
      </w:hyperlink>
      <w:r w:rsidRPr="00185E76">
        <w:rPr>
          <w:rFonts w:eastAsia="Times New Roman"/>
          <w:szCs w:val="20"/>
          <w:lang w:eastAsia="ru-RU"/>
        </w:rPr>
        <w:t xml:space="preserve">, </w:t>
      </w:r>
      <w:hyperlink r:id="rId6" w:anchor="a2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[2]</w:t>
        </w:r>
      </w:hyperlink>
      <w:r w:rsidRPr="00185E76">
        <w:rPr>
          <w:rFonts w:eastAsia="Times New Roman"/>
          <w:szCs w:val="20"/>
          <w:lang w:eastAsia="ru-RU"/>
        </w:rPr>
        <w:t xml:space="preserve">, </w:t>
      </w:r>
      <w:hyperlink r:id="rId7" w:anchor="a3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[3]</w:t>
        </w:r>
      </w:hyperlink>
      <w:r w:rsidRPr="00185E76">
        <w:rPr>
          <w:rFonts w:eastAsia="Times New Roman"/>
          <w:szCs w:val="20"/>
          <w:lang w:eastAsia="ru-RU"/>
        </w:rPr>
        <w:t xml:space="preserve">, </w:t>
      </w:r>
      <w:hyperlink r:id="rId8" w:anchor="a4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[4]</w:t>
        </w:r>
      </w:hyperlink>
      <w:r w:rsidRPr="00185E76">
        <w:rPr>
          <w:rFonts w:eastAsia="Times New Roman"/>
          <w:szCs w:val="20"/>
          <w:lang w:eastAsia="ru-RU"/>
        </w:rPr>
        <w:t xml:space="preserve">, </w:t>
      </w:r>
      <w:hyperlink r:id="rId9" w:anchor="a7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[7]</w:t>
        </w:r>
      </w:hyperlink>
      <w:r w:rsidRPr="00185E76">
        <w:rPr>
          <w:rFonts w:eastAsia="Times New Roman"/>
          <w:szCs w:val="20"/>
          <w:lang w:eastAsia="ru-RU"/>
        </w:rPr>
        <w:t>, превратили анализ стратегии целеполагания в ценный метод изучения личности, динамических и содержательных аспектов мотивации субъекта. Нами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lastRenderedPageBreak/>
        <w:t>153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разработан и реализован на компьютере усовершенствованный вариант этой методики. Ее краткое описание и возможности в плане диагностики содержательных аспектов мотивации были показаны в предыдущей работе </w:t>
      </w:r>
      <w:hyperlink r:id="rId10" w:anchor="a2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[2]</w:t>
        </w:r>
      </w:hyperlink>
      <w:r w:rsidRPr="00185E76">
        <w:rPr>
          <w:rFonts w:eastAsia="Times New Roman"/>
          <w:szCs w:val="20"/>
          <w:lang w:eastAsia="ru-RU"/>
        </w:rPr>
        <w:t>. Например, с помощью результатов автоматизированной обработки параметров деятельности испытуемого определяется вид и предметная отнесенность мотивации.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Дальнейшее исследование возможностей разработанной психодиагностической методики показывает ее продуктивность в исследовании динамических особенностей процессов мотивации, присущих тому или иному человеку. Оказалось, что методика анализа уровня притязаний чувствительна к широкому спектру характеристик психической регуляции. В отличие от содержательных сторон мотивации, диагностика которых требует обязательного качественного анализа данных психологом-специалистом, наличие некоторых особенностей мотивации динамического типа может быть установлено с помощью компьютерной процедуры обследования и обработки данных.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Применение компьютерной обработки психодиагностических данных позволяет расширить круг индивидуальных психических характеристик, выявляемых с помощью анализа уровня притязаний. Это изменяет диагностическую направленность методики уровня притязаний (методики УП), превращая ее в сложный </w:t>
      </w:r>
      <w:proofErr w:type="spellStart"/>
      <w:r w:rsidRPr="00185E76">
        <w:rPr>
          <w:rFonts w:eastAsia="Times New Roman"/>
          <w:szCs w:val="20"/>
          <w:lang w:eastAsia="ru-RU"/>
        </w:rPr>
        <w:t>мультидиагностический</w:t>
      </w:r>
      <w:proofErr w:type="spellEnd"/>
      <w:r w:rsidRPr="00185E76">
        <w:rPr>
          <w:rFonts w:eastAsia="Times New Roman"/>
          <w:szCs w:val="20"/>
          <w:lang w:eastAsia="ru-RU"/>
        </w:rPr>
        <w:t xml:space="preserve"> метод, создание которого основано на сложившемся в экспериментальной психологии понятии «уровень притязаний». Этот прочно укоренившийся в психологической науке гипотетический конструкт изначально проявил себя как сложное, синтетическое психическое образование </w:t>
      </w:r>
      <w:hyperlink r:id="rId11" w:anchor="a8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[8]</w:t>
        </w:r>
      </w:hyperlink>
      <w:r w:rsidRPr="00185E76">
        <w:rPr>
          <w:rFonts w:eastAsia="Times New Roman"/>
          <w:szCs w:val="20"/>
          <w:lang w:eastAsia="ru-RU"/>
        </w:rPr>
        <w:t>. Различные исследователи указывают на связь уровня притязаний с такими процессами и состояниями психики, как различные виды самооценок личности, интенсивность переживания результатов деятельности, мотивационная направленность, гибкость целеполагания и многие другие. Эти данные говорят о сложной, множественной системной детерминации процесса  формирования уровня притязаний.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С одной стороны, комплексный характер детерминации наблюдаемого психического свойства, лежащего в основе психодиагностической методики, существенно усложняет ее конструирование, обработку и интерпретацию данных. С другой стороны, это расширяет ее диагностические возможности, делает информативной в отношении широкого спектра психических характеристик человека. 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Проведенное исследование показывает чувствительность уровня притязаний </w:t>
      </w:r>
      <w:proofErr w:type="gramStart"/>
      <w:r w:rsidRPr="00185E76">
        <w:rPr>
          <w:rFonts w:eastAsia="Times New Roman"/>
          <w:szCs w:val="20"/>
          <w:lang w:eastAsia="ru-RU"/>
        </w:rPr>
        <w:t>к</w:t>
      </w:r>
      <w:proofErr w:type="gramEnd"/>
      <w:r w:rsidRPr="00185E76">
        <w:rPr>
          <w:rFonts w:eastAsia="Times New Roman"/>
          <w:szCs w:val="20"/>
          <w:lang w:eastAsia="ru-RU"/>
        </w:rPr>
        <w:t xml:space="preserve"> </w:t>
      </w:r>
      <w:proofErr w:type="gramStart"/>
      <w:r w:rsidRPr="00185E76">
        <w:rPr>
          <w:rFonts w:eastAsia="Times New Roman"/>
          <w:szCs w:val="20"/>
          <w:lang w:eastAsia="ru-RU"/>
        </w:rPr>
        <w:t>таким</w:t>
      </w:r>
      <w:proofErr w:type="gramEnd"/>
      <w:r w:rsidRPr="00185E76">
        <w:rPr>
          <w:rFonts w:eastAsia="Times New Roman"/>
          <w:szCs w:val="20"/>
          <w:lang w:eastAsia="ru-RU"/>
        </w:rPr>
        <w:t xml:space="preserve"> аспектам психической регуляции деятельности человека, как устойчивость по отношению к различного рода неблагоприятным факторам (</w:t>
      </w:r>
      <w:proofErr w:type="spellStart"/>
      <w:r w:rsidRPr="00185E76">
        <w:rPr>
          <w:rFonts w:eastAsia="Times New Roman"/>
          <w:szCs w:val="20"/>
          <w:lang w:eastAsia="ru-RU"/>
        </w:rPr>
        <w:t>монотония</w:t>
      </w:r>
      <w:proofErr w:type="spellEnd"/>
      <w:r w:rsidRPr="00185E76">
        <w:rPr>
          <w:rFonts w:eastAsia="Times New Roman"/>
          <w:szCs w:val="20"/>
          <w:lang w:eastAsia="ru-RU"/>
        </w:rPr>
        <w:t xml:space="preserve">, хронический неуспех, дефицит времени); представление о собственных возможностях, их самооценка; ригидность </w:t>
      </w:r>
      <w:proofErr w:type="spellStart"/>
      <w:r w:rsidRPr="00185E76">
        <w:rPr>
          <w:rFonts w:eastAsia="Times New Roman"/>
          <w:szCs w:val="20"/>
          <w:lang w:eastAsia="ru-RU"/>
        </w:rPr>
        <w:t>целеобразования</w:t>
      </w:r>
      <w:proofErr w:type="spellEnd"/>
      <w:r w:rsidRPr="00185E76">
        <w:rPr>
          <w:rFonts w:eastAsia="Times New Roman"/>
          <w:szCs w:val="20"/>
          <w:lang w:eastAsia="ru-RU"/>
        </w:rPr>
        <w:t xml:space="preserve"> и поведения в целом; степень уверенности в своих силах; способ выхода из ситуации конфликта. Общность перечисленных свойств, на наш взгляд, состоит в их тесной связи с мотивационно-динамическими особенностями личности.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Таким образом, методика УП позволяет анализировать психодиагностические данные двух типов: связанные с </w:t>
      </w:r>
      <w:proofErr w:type="spellStart"/>
      <w:r w:rsidRPr="00185E76">
        <w:rPr>
          <w:rFonts w:eastAsia="Times New Roman"/>
          <w:szCs w:val="20"/>
          <w:lang w:eastAsia="ru-RU"/>
        </w:rPr>
        <w:t>содержительными</w:t>
      </w:r>
      <w:proofErr w:type="spellEnd"/>
      <w:r w:rsidRPr="00185E76">
        <w:rPr>
          <w:rFonts w:eastAsia="Times New Roman"/>
          <w:szCs w:val="20"/>
          <w:lang w:eastAsia="ru-RU"/>
        </w:rPr>
        <w:t xml:space="preserve"> аспектами мотивации (вид и предметная отнесенность ведущего мотива); характеризующие психические свойства, связанные с динамическими аспектами мотивационной регуляции. Отметим, что разделение содержательных и динамических аспектов мотивации носит в данном случае весьма условный характер и является скорее данью традиции </w:t>
      </w:r>
      <w:proofErr w:type="spellStart"/>
      <w:r w:rsidRPr="00185E76">
        <w:rPr>
          <w:rFonts w:eastAsia="Times New Roman"/>
          <w:szCs w:val="20"/>
          <w:lang w:eastAsia="ru-RU"/>
        </w:rPr>
        <w:t>деятельностного</w:t>
      </w:r>
      <w:proofErr w:type="spellEnd"/>
      <w:r w:rsidRPr="00185E76">
        <w:rPr>
          <w:rFonts w:eastAsia="Times New Roman"/>
          <w:szCs w:val="20"/>
          <w:lang w:eastAsia="ru-RU"/>
        </w:rPr>
        <w:t xml:space="preserve"> подхода. </w:t>
      </w:r>
      <w:r w:rsidRPr="00185E76">
        <w:rPr>
          <w:rFonts w:eastAsia="Times New Roman"/>
          <w:szCs w:val="20"/>
          <w:lang w:eastAsia="ru-RU"/>
        </w:rPr>
        <w:lastRenderedPageBreak/>
        <w:t xml:space="preserve">Условность такого разделения определяется теоретическими концепциями, в русле которых длительное время развивалось понятие притязаний и достижений (например, концепция мотивации достижения). В настоящее время широко используются определения мотивов, динамические и содержательные аспекты которых трудно разделимы. Примером может послужить понятие мотива достижения успеха и мотива избегания неуспеха. «Прорастание» такого понимания статуса мотива в иные психологические концептуальные схемы связано с сильным влиянием </w:t>
      </w:r>
      <w:proofErr w:type="spellStart"/>
      <w:r w:rsidRPr="00185E76">
        <w:rPr>
          <w:rFonts w:eastAsia="Times New Roman"/>
          <w:szCs w:val="20"/>
          <w:lang w:eastAsia="ru-RU"/>
        </w:rPr>
        <w:t>левиновской</w:t>
      </w:r>
      <w:proofErr w:type="spellEnd"/>
      <w:r w:rsidRPr="00185E76">
        <w:rPr>
          <w:rFonts w:eastAsia="Times New Roman"/>
          <w:szCs w:val="20"/>
          <w:lang w:eastAsia="ru-RU"/>
        </w:rPr>
        <w:t xml:space="preserve"> концепции мотивации на современную психологию (носителем которого </w:t>
      </w:r>
      <w:proofErr w:type="gramStart"/>
      <w:r w:rsidRPr="00185E76">
        <w:rPr>
          <w:rFonts w:eastAsia="Times New Roman"/>
          <w:szCs w:val="20"/>
          <w:lang w:eastAsia="ru-RU"/>
        </w:rPr>
        <w:t>является</w:t>
      </w:r>
      <w:proofErr w:type="gramEnd"/>
      <w:r w:rsidRPr="00185E76">
        <w:rPr>
          <w:rFonts w:eastAsia="Times New Roman"/>
          <w:szCs w:val="20"/>
          <w:lang w:eastAsia="ru-RU"/>
        </w:rPr>
        <w:t xml:space="preserve"> в том числе понятие уровня притязаний, лежащее в основе данной работы).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Отметив условность различения содержательного и динамического аспектов мотивации, остановимся на новых возможностях методики УП в плане диагностики тех особенностей мотивации, которые более относятся к динамическому аспекту мотивационной регуляции, нежели к предметному ее содержанию.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Диагностика динамических аспектов мотивации производится с помощью анализа УП по специально разработанным параметрам. Расчет этих показателей производится компьютером на основе первичной обработки экспериментальных данных. Количество таких параметров превышает 20. Часть из них известна </w:t>
      </w:r>
      <w:hyperlink r:id="rId12" w:anchor="a3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[3]</w:t>
        </w:r>
      </w:hyperlink>
      <w:r w:rsidRPr="00185E76">
        <w:rPr>
          <w:rFonts w:eastAsia="Times New Roman"/>
          <w:szCs w:val="20"/>
          <w:lang w:eastAsia="ru-RU"/>
        </w:rPr>
        <w:t>: общее количество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154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выборов (решаемых задач); общее время эксперимента; среднее время решения одной задачи; уровень притязаний (средний уровень сложности всех избранных задач); средняя величина шага (средний модуль разниц уровня сложности соседних выборов); средняя величина и направление шага после успешного и неуспешного решения; количество парадоксальных реакций (повышение сложности после неуспеха и понижение после успеха); </w:t>
      </w:r>
      <w:proofErr w:type="gramStart"/>
      <w:r w:rsidRPr="00185E76">
        <w:rPr>
          <w:rFonts w:eastAsia="Times New Roman"/>
          <w:szCs w:val="20"/>
          <w:lang w:eastAsia="ru-RU"/>
        </w:rPr>
        <w:t>количество, величина и направление резких подъемов и снижений (скачков) притязаний; широта ориентации в зоне предложенных целей (разница между минимально сложным и максимально сложным выбором цели); количество повторных выборов задач данной сложности после неуспешного и успешного решения; процент успешных решений от общего количества выборов; уровень достижений (максимальный уровень сложности успешно решенной задачи);</w:t>
      </w:r>
      <w:proofErr w:type="gramEnd"/>
      <w:r w:rsidRPr="00185E76">
        <w:rPr>
          <w:rFonts w:eastAsia="Times New Roman"/>
          <w:szCs w:val="20"/>
          <w:lang w:eastAsia="ru-RU"/>
        </w:rPr>
        <w:t xml:space="preserve"> средний уровень успешно решенной задачи; адекватность притязаний испытуемого (отношение уровня притязаний к уровню достижений). Кроме того, нами были введены новые первичные параметры: среднее время решения успешно решенной задачи; среднее время решения нерешенной задачи (отношение этих показателей отражает адекватность настойчивости испытуемого при решении задач его интеллектуальным возможностям). Другие введенные нами параметры связаны с анализом соотношения предсказаний и реальных выборов испытуемого. Напомним, что, согласно нашей методике </w:t>
      </w:r>
      <w:hyperlink r:id="rId13" w:anchor="a2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[2]</w:t>
        </w:r>
      </w:hyperlink>
      <w:r w:rsidRPr="00185E76">
        <w:rPr>
          <w:rFonts w:eastAsia="Times New Roman"/>
          <w:szCs w:val="20"/>
          <w:lang w:eastAsia="ru-RU"/>
        </w:rPr>
        <w:t xml:space="preserve"> после того, как испытуемый сделал очередной выбор, перед предъявлением очередной задачи ему задавался дополнительный вопрос: какие задачи он выберет в случае успешного и неуспешного решения данной задачи. После реального (правильного или неправильного) решения задачи компьютер снова запрашивал уровень сложности очередной задачи вне зависимости от предсказаний. Параметры, связанные с предсказанием, следующие: предсказываемые шаги после успеха и неуспеха; количество парадоксальных предсказаний (повышение после неуспеха, понижение после успеха); процент нарушения предсказаний после успеха и неуспеха.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lastRenderedPageBreak/>
        <w:t>На основе первичных параметров разработаны комплексные вторичные диагностические показатели, применяемые для определения перечисленных выше динамических особенностей мотивационной регуляции деятельности субъекта.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Первый показатель (П</w:t>
      </w:r>
      <w:proofErr w:type="gramStart"/>
      <w:r w:rsidRPr="00185E76">
        <w:rPr>
          <w:rFonts w:eastAsia="Times New Roman"/>
          <w:szCs w:val="20"/>
          <w:lang w:eastAsia="ru-RU"/>
        </w:rPr>
        <w:t>1</w:t>
      </w:r>
      <w:proofErr w:type="gramEnd"/>
      <w:r w:rsidRPr="00185E76">
        <w:rPr>
          <w:rFonts w:eastAsia="Times New Roman"/>
          <w:szCs w:val="20"/>
          <w:lang w:eastAsia="ru-RU"/>
        </w:rPr>
        <w:t>) равен отношению средней сложности выбранной задачи, то есть уровня притязаний, к уровню максимально сложной задачи, выбранной испытуемым: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</w:t>
      </w:r>
      <w:proofErr w:type="gramStart"/>
      <w:r w:rsidRPr="00185E76">
        <w:rPr>
          <w:rFonts w:eastAsia="Times New Roman"/>
          <w:szCs w:val="20"/>
          <w:lang w:eastAsia="ru-RU"/>
        </w:rPr>
        <w:t>1</w:t>
      </w:r>
      <w:proofErr w:type="gramEnd"/>
      <w:r w:rsidRPr="00185E76">
        <w:rPr>
          <w:rFonts w:eastAsia="Times New Roman"/>
          <w:szCs w:val="20"/>
          <w:lang w:eastAsia="ru-RU"/>
        </w:rPr>
        <w:t>=ССВ / МСВ,</w:t>
      </w: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где ССВ </w:t>
      </w:r>
      <w:r w:rsidRPr="00185E76">
        <w:rPr>
          <w:rFonts w:eastAsia="Times New Roman"/>
          <w:lang w:eastAsia="ru-RU"/>
        </w:rPr>
        <w:t xml:space="preserve">— </w:t>
      </w:r>
      <w:r w:rsidRPr="00185E76">
        <w:rPr>
          <w:rFonts w:eastAsia="Times New Roman"/>
          <w:szCs w:val="20"/>
          <w:lang w:eastAsia="ru-RU"/>
        </w:rPr>
        <w:t>средняя сложность выбора, МСВ — максимальная сложность выбора.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Относительная высота притязаний, в отличие от традиционного показателя, учитывает не только усредненный уровень выбора, но и наличие пиков на графике последовательности выборов. Этот параметр служит прямым показателем высоты самооценки личности в конкретном виде деятельности при решении интеллектуальных задач, т. е. является частным случаем интеллектуальной самооценки. Этот показатель приобретает важное диагностическое значение в комбинации с уровнем достижений.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Параметр П</w:t>
      </w:r>
      <w:proofErr w:type="gramStart"/>
      <w:r w:rsidRPr="00185E76">
        <w:rPr>
          <w:rFonts w:eastAsia="Times New Roman"/>
          <w:szCs w:val="20"/>
          <w:lang w:eastAsia="ru-RU"/>
        </w:rPr>
        <w:t>2</w:t>
      </w:r>
      <w:proofErr w:type="gramEnd"/>
      <w:r w:rsidRPr="00185E76">
        <w:rPr>
          <w:rFonts w:eastAsia="Times New Roman"/>
          <w:szCs w:val="20"/>
          <w:lang w:eastAsia="ru-RU"/>
        </w:rPr>
        <w:t xml:space="preserve"> отражает отношение между высотой притязаний и средним уровнем достижений. Это — адекватность притязаний человека, его самооценки, правильность представлений о собственных возможностях, т. е. степень соответствия реальных и приписываемых человеком самому себе способностей: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</w:t>
      </w:r>
      <w:proofErr w:type="gramStart"/>
      <w:r w:rsidRPr="00185E76">
        <w:rPr>
          <w:rFonts w:eastAsia="Times New Roman"/>
          <w:szCs w:val="20"/>
          <w:lang w:eastAsia="ru-RU"/>
        </w:rPr>
        <w:t>2</w:t>
      </w:r>
      <w:proofErr w:type="gramEnd"/>
      <w:r w:rsidRPr="00185E76">
        <w:rPr>
          <w:rFonts w:eastAsia="Times New Roman"/>
          <w:szCs w:val="20"/>
          <w:lang w:eastAsia="ru-RU"/>
        </w:rPr>
        <w:t>= ССВ / ССУ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где ССВ </w:t>
      </w:r>
      <w:r w:rsidRPr="00185E76">
        <w:rPr>
          <w:rFonts w:eastAsia="Times New Roman"/>
          <w:lang w:eastAsia="ru-RU"/>
        </w:rPr>
        <w:t xml:space="preserve">— </w:t>
      </w:r>
      <w:r w:rsidRPr="00185E76">
        <w:rPr>
          <w:rFonts w:eastAsia="Times New Roman"/>
          <w:szCs w:val="20"/>
          <w:lang w:eastAsia="ru-RU"/>
        </w:rPr>
        <w:t>средняя сложность выбора, ССУ — средняя сложность успеха.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Адекватность представлений о собственных возможностях в связи с требованиями ситуации является одной из основных предпосылок общего психического благополучия, а также успешного выполнения практически любой профессиональной деятельности. Естественно, в данном случае не имеется в виду высокотворческая профессиональная деятельность, в которой острая неудовлетворенность собой может быть едва ли не основным двигателем творчества.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Особенно важна правильная самооценка для успешного осуществления учебной деятельности, не только потому, что она во многом определяет ее эффективность, но и потому еще, что собственно самооценка формируется в ходе этой деятельности.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Выявляются три основных типа самооценки — адекватная, завышенная и заниженная. В первом случае человек абсолютно точно взвешивает свои возможности; во втором — переоценивает их; в третьем — он худшего мнения о себе, чем есть в действительности. Психологически наиболее благоприятным случаем является несколько завышенная самооценка </w:t>
      </w:r>
      <w:hyperlink r:id="rId14" w:anchor="a6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[6]</w:t>
        </w:r>
      </w:hyperlink>
      <w:r w:rsidRPr="00185E76">
        <w:rPr>
          <w:rFonts w:eastAsia="Times New Roman"/>
          <w:szCs w:val="20"/>
          <w:lang w:eastAsia="ru-RU"/>
        </w:rPr>
        <w:t xml:space="preserve">, что создает «зону развития» возможностей человека. Экстремально завышенная или заниженная самооценка является неблагоприятной с точки зрения </w:t>
      </w:r>
      <w:r w:rsidRPr="00185E76">
        <w:rPr>
          <w:rFonts w:eastAsia="Times New Roman"/>
          <w:szCs w:val="20"/>
          <w:lang w:eastAsia="ru-RU"/>
        </w:rPr>
        <w:lastRenderedPageBreak/>
        <w:t xml:space="preserve">влияния на результаты деятельности, особенно такие ее параметры, как продуктивность, устойчивость </w:t>
      </w:r>
      <w:proofErr w:type="gramStart"/>
      <w:r w:rsidRPr="00185E76">
        <w:rPr>
          <w:rFonts w:eastAsia="Times New Roman"/>
          <w:szCs w:val="20"/>
          <w:lang w:eastAsia="ru-RU"/>
        </w:rPr>
        <w:t>к</w:t>
      </w:r>
      <w:proofErr w:type="gramEnd"/>
      <w:r w:rsidRPr="00185E76">
        <w:rPr>
          <w:rFonts w:eastAsia="Times New Roman"/>
          <w:szCs w:val="20"/>
          <w:lang w:eastAsia="ru-RU"/>
        </w:rPr>
        <w:t xml:space="preserve"> временным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155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и эмоциональным факторам. Лица с завышенной самооценкой при неуспехе демонстрируют так называемый эффект неадекватности </w:t>
      </w:r>
      <w:hyperlink r:id="rId15" w:anchor="a5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[5]</w:t>
        </w:r>
      </w:hyperlink>
      <w:r w:rsidRPr="00185E76">
        <w:rPr>
          <w:rFonts w:eastAsia="Times New Roman"/>
          <w:szCs w:val="20"/>
          <w:lang w:eastAsia="ru-RU"/>
        </w:rPr>
        <w:t xml:space="preserve"> — их психическое состояние характеризуется обидчивостью, подозрительностью, недоверчивостью, агрессивностью и негативизмом. При заниженной самооценке человек убежден в собственной неполноценности, что феноменологически выражается в уходе от трудностей, хронической пассивности, вялости, униженности, плохом настроении.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Одной из практических задач психолога и педагога является контроль и коррекция самооценки человека в учебной деятельности, не только с точки зрения успешного осуществления этой деятельности, но и в целях гармоничного формирования личности.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Третий показатель ПЗ отражает колебание притязаний после неуспеха. Он равен разности средней абсолютной величины шага после неуспеха и абсолютной величины среднего шага после неуспеха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П3= МШН - МСН,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где МШН — средний модуль шага после неуспеха, МСН — модуль среднего шага при неуспехе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5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Он равен нулю, если после неуспеха не было повышения притязаний. Чем выше индекс, тем б</w:t>
      </w:r>
      <w:r w:rsidRPr="00185E76">
        <w:rPr>
          <w:rFonts w:eastAsia="Times New Roman"/>
          <w:b/>
          <w:bCs/>
          <w:szCs w:val="20"/>
          <w:lang w:eastAsia="ru-RU"/>
        </w:rPr>
        <w:t>о</w:t>
      </w:r>
      <w:r w:rsidRPr="00185E76">
        <w:rPr>
          <w:rFonts w:eastAsia="Times New Roman"/>
          <w:szCs w:val="20"/>
          <w:lang w:eastAsia="ru-RU"/>
        </w:rPr>
        <w:t xml:space="preserve">льшую вариативность поведения он отражает. Параметр в зависимости от своего значения может указывать и на ригидное реагирование, отсутствие поисково-ориентировочных действий в зоне возможного успеха. В предложенной форме показатель выражает подвижность и интенсивность процессов эмоционального переживания неуспеха. Выявляется степень устойчивости относительно неуспеха в деятельности, что является одной из основных характеристик человека при решении им мыслительных задач. Если при успешном решении поведение всех людей практически одинаково и выражается в повышении притязаний, то в ситуации неуспеха поведение крайне индивидуально </w:t>
      </w:r>
      <w:hyperlink r:id="rId16" w:anchor="a7" w:history="1">
        <w:r w:rsidRPr="00185E76">
          <w:rPr>
            <w:rFonts w:eastAsia="Times New Roman"/>
            <w:color w:val="994779"/>
            <w:szCs w:val="20"/>
            <w:u w:val="single"/>
            <w:lang w:eastAsia="ru-RU"/>
          </w:rPr>
          <w:t>[7]</w:t>
        </w:r>
      </w:hyperlink>
      <w:r w:rsidRPr="00185E76">
        <w:rPr>
          <w:rFonts w:eastAsia="Times New Roman"/>
          <w:szCs w:val="20"/>
          <w:lang w:eastAsia="ru-RU"/>
        </w:rPr>
        <w:t xml:space="preserve"> и характеризует личность со стороны ее эмоционально-волевых особенностей. Возможны различные варианты реагирования на неуспех. Неустойчивые люди могут в ситуации неуспеха реагировать </w:t>
      </w:r>
      <w:proofErr w:type="spellStart"/>
      <w:r w:rsidRPr="00185E76">
        <w:rPr>
          <w:rFonts w:eastAsia="Times New Roman"/>
          <w:szCs w:val="20"/>
          <w:lang w:eastAsia="ru-RU"/>
        </w:rPr>
        <w:t>повышенно</w:t>
      </w:r>
      <w:proofErr w:type="spellEnd"/>
      <w:r w:rsidRPr="00185E76">
        <w:rPr>
          <w:rFonts w:eastAsia="Times New Roman"/>
          <w:szCs w:val="20"/>
          <w:lang w:eastAsia="ru-RU"/>
        </w:rPr>
        <w:t xml:space="preserve"> эмоционально, что выражается в хаотичных, лишенных рациональности действиях (на графике последовательности выборов это выглядит как ломаная линия со значительным размахом). Другой вариант — появляется неуверенность в себе, выражающаяся в том, что человек не решается браться за слишком сложные задачи, боясь повторного неуспеха. Иногда испытуемые выбирают заведомо нерешаемые задачи, где неуспех не так обиден, как при решении обычных средних задач.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5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lastRenderedPageBreak/>
        <w:t xml:space="preserve">Устойчивость к неуспеху </w:t>
      </w:r>
      <w:proofErr w:type="gramStart"/>
      <w:r w:rsidRPr="00185E76">
        <w:rPr>
          <w:rFonts w:eastAsia="Times New Roman"/>
          <w:szCs w:val="20"/>
          <w:lang w:eastAsia="ru-RU"/>
        </w:rPr>
        <w:t>выражается</w:t>
      </w:r>
      <w:proofErr w:type="gramEnd"/>
      <w:r w:rsidRPr="00185E76">
        <w:rPr>
          <w:rFonts w:eastAsia="Times New Roman"/>
          <w:szCs w:val="20"/>
          <w:lang w:eastAsia="ru-RU"/>
        </w:rPr>
        <w:t xml:space="preserve"> как попытка решить задачи, используя предыдущий опыт в соответствии с реальными возможностями (колебание выбора в зоне возможного успеха). Неуспех при этом не становится </w:t>
      </w:r>
      <w:proofErr w:type="spellStart"/>
      <w:r w:rsidRPr="00185E76">
        <w:rPr>
          <w:rFonts w:eastAsia="Times New Roman"/>
          <w:szCs w:val="20"/>
          <w:lang w:eastAsia="ru-RU"/>
        </w:rPr>
        <w:t>дезорганизующим</w:t>
      </w:r>
      <w:proofErr w:type="spellEnd"/>
      <w:r w:rsidRPr="00185E76">
        <w:rPr>
          <w:rFonts w:eastAsia="Times New Roman"/>
          <w:szCs w:val="20"/>
          <w:lang w:eastAsia="ru-RU"/>
        </w:rPr>
        <w:t xml:space="preserve"> всю систему деятельности фактором.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Четвертый показатель П</w:t>
      </w:r>
      <w:proofErr w:type="gramStart"/>
      <w:r w:rsidRPr="00185E76">
        <w:rPr>
          <w:rFonts w:eastAsia="Times New Roman"/>
          <w:szCs w:val="20"/>
          <w:lang w:eastAsia="ru-RU"/>
        </w:rPr>
        <w:t>4</w:t>
      </w:r>
      <w:proofErr w:type="gramEnd"/>
      <w:r w:rsidRPr="00185E76">
        <w:rPr>
          <w:rFonts w:eastAsia="Times New Roman"/>
          <w:szCs w:val="20"/>
          <w:lang w:eastAsia="ru-RU"/>
        </w:rPr>
        <w:t xml:space="preserve"> учитывает отношение величин шага после неуспеха и успеха: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</w:t>
      </w:r>
      <w:proofErr w:type="gramStart"/>
      <w:r w:rsidRPr="00185E76">
        <w:rPr>
          <w:rFonts w:eastAsia="Times New Roman"/>
          <w:szCs w:val="20"/>
          <w:lang w:eastAsia="ru-RU"/>
        </w:rPr>
        <w:t>4</w:t>
      </w:r>
      <w:proofErr w:type="gramEnd"/>
      <w:r w:rsidRPr="00185E76">
        <w:rPr>
          <w:rFonts w:eastAsia="Times New Roman"/>
          <w:szCs w:val="20"/>
          <w:lang w:eastAsia="ru-RU"/>
        </w:rPr>
        <w:t>= МШН / МСУ</w:t>
      </w: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где МШН — средний модуль шага после неуспеха, МСУ — модуль среднего шага после успеха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Он отражает ориентацию испытуемого на определенный результат решения, его ожидание успеха или неуспеха. Этот показатель основан на глубинных психических свойствах, формируется на основе самооценки личности и реальных достижений. С помощью данного показателя можно выяснить, ощущает ли себя личность преимущественно как достигающего успеха человека или не достигающего, охарактеризовать преобладающий эмоциональный фон деятельности, присущий данному субъекту. С помощью этого параметра можно определить личностную ценность и глубину переживания субъектом того или иного результата решения — успешного или неуспешного.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Пятый параметр П5 связывает направление выбора (усложнение или упрощение) и величину шага после успешного решения и характеризует интенсивность переживания факта успеха субъектом: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П5= СШУ / СМУ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 xml:space="preserve">где СШУ— </w:t>
      </w:r>
      <w:proofErr w:type="gramStart"/>
      <w:r w:rsidRPr="00185E76">
        <w:rPr>
          <w:rFonts w:eastAsia="Times New Roman"/>
          <w:szCs w:val="20"/>
          <w:lang w:eastAsia="ru-RU"/>
        </w:rPr>
        <w:t>ср</w:t>
      </w:r>
      <w:proofErr w:type="gramEnd"/>
      <w:r w:rsidRPr="00185E76">
        <w:rPr>
          <w:rFonts w:eastAsia="Times New Roman"/>
          <w:szCs w:val="20"/>
          <w:lang w:eastAsia="ru-RU"/>
        </w:rPr>
        <w:t>едний шаг после успеха, СМУ — средний модуль шага при успехе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С помощью этого показателя могут быть отслежены ситуации парадоксального снижения притязаний после успеха. Это важный диагностический признак, наличие которого может указывать на глубокое психическое неблагополучие. В противном случае возможны два типа интерпретации (исключая случайное нажатие кнопки на клавиатуре, что проверяется дополнительно в ходе опроса):</w:t>
      </w: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— у испытуемого не сформировался уровень притязаний, что характеризуется отсутствием личностной заинтересованности в результатах исследования, отсутствием стремления к личным достижениям, личностной отстраненностью; чисто умозрительным познавательным отношением, не связанным с личностной включенностью оценочного типа;</w:t>
      </w: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— испытуемого отличает крайняя степень неуверенности в своих силах; имеет место ориентация исключительно на сам факт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156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успеха, а не на величину; низкая степень выраженности мотива достижения; заниженная самооценка.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И в том, и в другом случае наличие этого признака должно обратить на себя пристальное внимание психолога и требует дополнительного исследования с помощью других, сопряженных методик.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Математически шестой параметр П</w:t>
      </w:r>
      <w:proofErr w:type="gramStart"/>
      <w:r w:rsidRPr="00185E76">
        <w:rPr>
          <w:rFonts w:eastAsia="Times New Roman"/>
          <w:szCs w:val="20"/>
          <w:lang w:eastAsia="ru-RU"/>
        </w:rPr>
        <w:t>6</w:t>
      </w:r>
      <w:proofErr w:type="gramEnd"/>
      <w:r w:rsidRPr="00185E76">
        <w:rPr>
          <w:rFonts w:eastAsia="Times New Roman"/>
          <w:szCs w:val="20"/>
          <w:lang w:eastAsia="ru-RU"/>
        </w:rPr>
        <w:t xml:space="preserve"> похож на пятый, он равен частному от деления средней величины шага после неуспеха на среднюю абсолютную величину шага после неуспеха:</w:t>
      </w: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</w:t>
      </w:r>
      <w:proofErr w:type="gramStart"/>
      <w:r w:rsidRPr="00185E76">
        <w:rPr>
          <w:rFonts w:eastAsia="Times New Roman"/>
          <w:szCs w:val="20"/>
          <w:lang w:eastAsia="ru-RU"/>
        </w:rPr>
        <w:t>6</w:t>
      </w:r>
      <w:proofErr w:type="gramEnd"/>
      <w:r w:rsidRPr="00185E76">
        <w:rPr>
          <w:rFonts w:eastAsia="Times New Roman"/>
          <w:szCs w:val="20"/>
          <w:lang w:eastAsia="ru-RU"/>
        </w:rPr>
        <w:t>=СШН / СМН</w:t>
      </w: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где СШН — средний шаг после неуспеха, СМН — средний модуль шага при неуспехе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Он связывает величину и направление шага (последующего выбора) после неуспеха. По своему психологическому смыслу этот параметр близок к показателю ПЗ, но более тонко отражает особенности поведения испытуемого при неуспешном решении. Данный параметр имеет определенное прогностическое значение с точки зрения того, как испытуемый ведет себя в ситуации неуспеха, т.е. стратегии поведения при выходе из ситуации фрустрации. Показатель П</w:t>
      </w:r>
      <w:proofErr w:type="gramStart"/>
      <w:r w:rsidRPr="00185E76">
        <w:rPr>
          <w:rFonts w:eastAsia="Times New Roman"/>
          <w:szCs w:val="20"/>
          <w:lang w:eastAsia="ru-RU"/>
        </w:rPr>
        <w:t>6</w:t>
      </w:r>
      <w:proofErr w:type="gramEnd"/>
      <w:r w:rsidRPr="00185E76">
        <w:rPr>
          <w:rFonts w:eastAsia="Times New Roman"/>
          <w:szCs w:val="20"/>
          <w:lang w:eastAsia="ru-RU"/>
        </w:rPr>
        <w:t xml:space="preserve"> помогает обнаружить наличие такого психического качества, как инертность поведения, ригидность, которая выражается в замедленном переключении, переходе от одной цели к другой. При решении задач ригидность выражается как неспособность гибко и быстро </w:t>
      </w:r>
      <w:proofErr w:type="spellStart"/>
      <w:r w:rsidRPr="00185E76">
        <w:rPr>
          <w:rFonts w:eastAsia="Times New Roman"/>
          <w:szCs w:val="20"/>
          <w:lang w:eastAsia="ru-RU"/>
        </w:rPr>
        <w:t>коррегировать</w:t>
      </w:r>
      <w:proofErr w:type="spellEnd"/>
      <w:r w:rsidRPr="00185E76">
        <w:rPr>
          <w:rFonts w:eastAsia="Times New Roman"/>
          <w:szCs w:val="20"/>
          <w:lang w:eastAsia="ru-RU"/>
        </w:rPr>
        <w:t xml:space="preserve"> программу деятельности в зависимости от требований ситуации и результатов решения. В основе этой интеллектуально-личностной особенности лежат индивидуальные свойства нервной деятельности, эмоционального реагирования, интеллектуально-динамические особенности, характерологические признаки. Ригидность часто связана с такими личностными и поведенческими особенностями, как чрезмерная приверженность к </w:t>
      </w:r>
      <w:proofErr w:type="gramStart"/>
      <w:r w:rsidRPr="00185E76">
        <w:rPr>
          <w:rFonts w:eastAsia="Times New Roman"/>
          <w:szCs w:val="20"/>
          <w:lang w:eastAsia="ru-RU"/>
        </w:rPr>
        <w:t>привычным</w:t>
      </w:r>
      <w:proofErr w:type="gramEnd"/>
      <w:r w:rsidRPr="00185E76">
        <w:rPr>
          <w:rFonts w:eastAsia="Times New Roman"/>
          <w:szCs w:val="20"/>
          <w:lang w:eastAsia="ru-RU"/>
        </w:rPr>
        <w:t xml:space="preserve"> проверенным действиям, боязнь новизны, эмоциональная застойность, завышенная самооценка.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Седьмой показатель отличается от перечисленных тем, что отражает не просто динамические особенности деятельности, а тип интеллектуальной продуктивности субъекта. Он равен частному от деления суммы уровней сложности всех правильно решенных задач (в том числе и тех, для которых компьютер ложно указал неуспех) на общее время эксперимента в минутах: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</w:t>
      </w:r>
      <w:proofErr w:type="gramStart"/>
      <w:r w:rsidRPr="00185E76">
        <w:rPr>
          <w:rFonts w:eastAsia="Times New Roman"/>
          <w:szCs w:val="20"/>
          <w:lang w:eastAsia="ru-RU"/>
        </w:rPr>
        <w:t>7</w:t>
      </w:r>
      <w:proofErr w:type="gramEnd"/>
      <w:r w:rsidRPr="00185E76">
        <w:rPr>
          <w:rFonts w:eastAsia="Times New Roman"/>
          <w:szCs w:val="20"/>
          <w:lang w:eastAsia="ru-RU"/>
        </w:rPr>
        <w:t>= СУС / ОВЭ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где СУС — сумма уровней сложности всех правильно решенных задач, ОВЭ — общее время эксперимента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Данный параметр определен как интеллектуально-логический индекс. Показатель П</w:t>
      </w:r>
      <w:proofErr w:type="gramStart"/>
      <w:r w:rsidRPr="00185E76">
        <w:rPr>
          <w:rFonts w:eastAsia="Times New Roman"/>
          <w:szCs w:val="20"/>
          <w:lang w:eastAsia="ru-RU"/>
        </w:rPr>
        <w:t>7</w:t>
      </w:r>
      <w:proofErr w:type="gramEnd"/>
      <w:r w:rsidRPr="00185E76">
        <w:rPr>
          <w:rFonts w:eastAsia="Times New Roman"/>
          <w:szCs w:val="20"/>
          <w:lang w:eastAsia="ru-RU"/>
        </w:rPr>
        <w:t xml:space="preserve"> связывает практическую успешность решения задач с ее временной эффективностью. Он учитывает успешность решения на основе сложности решенных задач, временных особенностей деятельности, скорости решения отдельных задач. Это комплексный параметр, который характеризует качественно-временные показатели мыслительной деятельности, отражая умение быстро работать с достаточно высоким процентом успешных решений. С помощью этого показателя выделяются типы испытуемых, ориентированных на быстрое решение большого количества задач (количественный тип продуктивности) и испытуемых, решающих небольшое количество задач высокой сложности (качественный тип продуктивности).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Последний на данном этапе разработки методики параметр П8 характеризует силу мотивационного побуждения испытуемого в конкретном виде деятельности. Параметр находится в стадии разработки и основан на сочетании временных и количественных характеристик работы испытуемого (общее время работы и число попыток решения задач — как успешных, так и неуспешных). При конструировании этого параметра за основу брался ставший традиционным в экспериментальной психологии принцип положительного влияния силы мотива на временные и количественные характеристики экспериментальной деятельности. В отличие от качественных параметров, где высокая сила мотива может быть помехой к успешному решению, это влияние на временные и количественные характеристики носит однозначно положительный характер. Исключение из этого правила может возникать главным образом за счет влияния защитных механизмов личности. Однако в случае применения данного варианта методики УП влияние защитных механизмов может быть выявлено при тщательном анализе и сопоставлении данных, получаемых при вычислении параметров П</w:t>
      </w:r>
      <w:proofErr w:type="gramStart"/>
      <w:r w:rsidRPr="00185E76">
        <w:rPr>
          <w:rFonts w:eastAsia="Times New Roman"/>
          <w:szCs w:val="20"/>
          <w:lang w:eastAsia="ru-RU"/>
        </w:rPr>
        <w:t>1</w:t>
      </w:r>
      <w:proofErr w:type="gramEnd"/>
      <w:r w:rsidRPr="00185E76">
        <w:rPr>
          <w:rFonts w:eastAsia="Times New Roman"/>
          <w:szCs w:val="20"/>
          <w:lang w:eastAsia="ru-RU"/>
        </w:rPr>
        <w:t>, П2, П4 и П6.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0"/>
          <w:lang w:eastAsia="ru-RU"/>
        </w:rPr>
      </w:pPr>
      <w:r w:rsidRPr="00185E76">
        <w:rPr>
          <w:rFonts w:eastAsia="Times New Roman"/>
          <w:b/>
          <w:bCs/>
          <w:szCs w:val="20"/>
          <w:lang w:eastAsia="ru-RU"/>
        </w:rPr>
        <w:t>ЗАКЛЮЧЕНИЕ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Один из путей развития диагностических возможностей психологических методов связан с совершенствованием процедуры обследования, расширением обработки данных и углублением интерпретации результатов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157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обследования. При этом имеет место не только количественный рост способов обработки данных, применение все более тонких процедур обсчета, но и выявляются все новые качественные характеристики индивидуальности личности и мотивации. Таким образом, применение компьютера выводит психодиагностическую методику на качественно новый уровень развития.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right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Таблица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jc w:val="center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b/>
          <w:bCs/>
          <w:szCs w:val="20"/>
          <w:lang w:eastAsia="ru-RU"/>
        </w:rPr>
        <w:t>Развитие диагностических возможностей методики УП при применении компьютера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80"/>
        <w:gridCol w:w="3060"/>
        <w:gridCol w:w="3080"/>
      </w:tblGrid>
      <w:tr w:rsidR="00185E76" w:rsidRPr="00185E76" w:rsidTr="00185E76">
        <w:trPr>
          <w:trHeight w:val="700"/>
          <w:jc w:val="center"/>
        </w:trPr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E76" w:rsidRPr="00185E76" w:rsidRDefault="00185E76" w:rsidP="00185E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>Традиционный вариант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E76" w:rsidRPr="00185E76" w:rsidRDefault="00185E76" w:rsidP="00185E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>Компьютерный вариант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E76" w:rsidRPr="00185E76" w:rsidRDefault="00185E76" w:rsidP="00185E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>Перспективные направления</w:t>
            </w:r>
          </w:p>
        </w:tc>
      </w:tr>
      <w:tr w:rsidR="00185E76" w:rsidRPr="00185E76" w:rsidTr="00185E76">
        <w:trPr>
          <w:trHeight w:val="5579"/>
          <w:jc w:val="center"/>
        </w:trPr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E76" w:rsidRPr="00185E76" w:rsidRDefault="00185E76" w:rsidP="00185E7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>1. Высота УП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E76" w:rsidRPr="00185E76" w:rsidRDefault="00185E76" w:rsidP="00185E76">
            <w:pPr>
              <w:spacing w:after="0" w:line="240" w:lineRule="auto"/>
              <w:ind w:left="114" w:right="122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 xml:space="preserve">1. Эмоционально-волевая устойчивость (по отношению к неуспеху) </w:t>
            </w:r>
          </w:p>
          <w:p w:rsidR="00185E76" w:rsidRPr="00185E76" w:rsidRDefault="00185E76" w:rsidP="00185E76">
            <w:pPr>
              <w:spacing w:after="0" w:line="240" w:lineRule="auto"/>
              <w:ind w:left="114" w:right="122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 xml:space="preserve">2. Субъективная вероятность успеха </w:t>
            </w:r>
          </w:p>
          <w:p w:rsidR="00185E76" w:rsidRPr="00185E76" w:rsidRDefault="00185E76" w:rsidP="00185E76">
            <w:pPr>
              <w:spacing w:after="0" w:line="240" w:lineRule="auto"/>
              <w:ind w:left="114" w:right="122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 xml:space="preserve">3. Относительная ценность результата решения для субъекта </w:t>
            </w:r>
          </w:p>
          <w:p w:rsidR="00185E76" w:rsidRPr="00185E76" w:rsidRDefault="00185E76" w:rsidP="00185E76">
            <w:pPr>
              <w:spacing w:after="0" w:line="240" w:lineRule="auto"/>
              <w:ind w:left="114" w:right="122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>4. Интенсивность переживания результата решения и способ выхода из ситуации хронического неуспеха</w:t>
            </w:r>
          </w:p>
          <w:p w:rsidR="00185E76" w:rsidRPr="00185E76" w:rsidRDefault="00185E76" w:rsidP="00185E76">
            <w:pPr>
              <w:spacing w:after="0" w:line="240" w:lineRule="auto"/>
              <w:ind w:left="114" w:right="122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 xml:space="preserve">5. Степень ригидности в ситуации эмоционального неблагополучия </w:t>
            </w:r>
          </w:p>
          <w:p w:rsidR="00185E76" w:rsidRPr="00185E76" w:rsidRDefault="00185E76" w:rsidP="00185E76">
            <w:pPr>
              <w:spacing w:after="0" w:line="240" w:lineRule="auto"/>
              <w:ind w:left="114" w:right="122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 xml:space="preserve">6. Сила мотива и личностная значимость деятельности </w:t>
            </w:r>
          </w:p>
          <w:p w:rsidR="00185E76" w:rsidRPr="00185E76" w:rsidRDefault="00185E76" w:rsidP="00185E76">
            <w:pPr>
              <w:spacing w:after="0" w:line="240" w:lineRule="auto"/>
              <w:ind w:left="114" w:right="122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>7. Тип интеллектуальной продуктивности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E76" w:rsidRPr="00185E76" w:rsidRDefault="00185E76" w:rsidP="00185E76">
            <w:pPr>
              <w:spacing w:after="0" w:line="240" w:lineRule="auto"/>
              <w:ind w:left="82" w:right="83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>1. Импульсивность</w:t>
            </w:r>
          </w:p>
          <w:p w:rsidR="00185E76" w:rsidRPr="00185E76" w:rsidRDefault="00185E76" w:rsidP="00185E76">
            <w:pPr>
              <w:spacing w:after="0" w:line="240" w:lineRule="auto"/>
              <w:ind w:left="82" w:right="83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>2. Разработанность и глубина временной перспективы</w:t>
            </w:r>
          </w:p>
          <w:p w:rsidR="00185E76" w:rsidRPr="00185E76" w:rsidRDefault="00185E76" w:rsidP="00185E76">
            <w:pPr>
              <w:spacing w:after="0" w:line="240" w:lineRule="auto"/>
              <w:ind w:left="82" w:right="83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 xml:space="preserve">3. Тип выхода из конфликтной ситуации </w:t>
            </w:r>
          </w:p>
          <w:p w:rsidR="00185E76" w:rsidRPr="00185E76" w:rsidRDefault="00185E76" w:rsidP="00185E76">
            <w:pPr>
              <w:spacing w:after="0" w:line="240" w:lineRule="auto"/>
              <w:ind w:left="82" w:right="83"/>
              <w:rPr>
                <w:rFonts w:eastAsia="Times New Roman"/>
                <w:sz w:val="22"/>
                <w:szCs w:val="20"/>
                <w:lang w:eastAsia="ru-RU"/>
              </w:rPr>
            </w:pPr>
            <w:r w:rsidRPr="00185E76">
              <w:rPr>
                <w:rFonts w:eastAsia="Times New Roman"/>
                <w:sz w:val="22"/>
                <w:szCs w:val="20"/>
                <w:lang w:eastAsia="ru-RU"/>
              </w:rPr>
              <w:t>4. Значимость внешних оценок для субъекта</w:t>
            </w:r>
          </w:p>
        </w:tc>
      </w:tr>
    </w:tbl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ind w:right="-20"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Применение компьютера в модифицированном варианте методики УП позволяет диагностировать новые свойства мотивационной регуляции деятельности и личностные особенности, такие как:</w:t>
      </w:r>
    </w:p>
    <w:p w:rsidR="00185E76" w:rsidRPr="00185E76" w:rsidRDefault="00185E76" w:rsidP="00185E76">
      <w:pPr>
        <w:spacing w:after="0" w:line="240" w:lineRule="auto"/>
        <w:ind w:left="426" w:right="-20" w:hanging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— адекватность и высота самооценки;</w:t>
      </w:r>
    </w:p>
    <w:p w:rsidR="00185E76" w:rsidRPr="00185E76" w:rsidRDefault="00185E76" w:rsidP="00185E76">
      <w:pPr>
        <w:spacing w:after="0" w:line="240" w:lineRule="auto"/>
        <w:ind w:left="426" w:right="-20" w:hanging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— эмоционально-волевая устойчивость (по отношению к неуспеху в деятельности);</w:t>
      </w:r>
    </w:p>
    <w:p w:rsidR="00185E76" w:rsidRPr="00185E76" w:rsidRDefault="00185E76" w:rsidP="00185E76">
      <w:pPr>
        <w:spacing w:after="0" w:line="240" w:lineRule="auto"/>
        <w:ind w:left="426" w:right="-20" w:hanging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— субъективная вероятность успеха (ориентация на успех или неуспех);</w:t>
      </w:r>
    </w:p>
    <w:p w:rsidR="00185E76" w:rsidRPr="00185E76" w:rsidRDefault="00185E76" w:rsidP="00185E76">
      <w:pPr>
        <w:spacing w:after="0" w:line="240" w:lineRule="auto"/>
        <w:ind w:left="426" w:right="-20" w:hanging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— относительная ценность результата решения для субъекта;</w:t>
      </w:r>
    </w:p>
    <w:p w:rsidR="00185E76" w:rsidRPr="00185E76" w:rsidRDefault="00185E76" w:rsidP="00185E76">
      <w:pPr>
        <w:spacing w:after="0" w:line="240" w:lineRule="auto"/>
        <w:ind w:left="426" w:right="-20" w:hanging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— интенсивность переживания результата решения и способ выхода из ситуации хронического неуспеха;</w:t>
      </w:r>
    </w:p>
    <w:p w:rsidR="00185E76" w:rsidRPr="00185E76" w:rsidRDefault="00185E76" w:rsidP="00185E76">
      <w:pPr>
        <w:spacing w:after="0" w:line="240" w:lineRule="auto"/>
        <w:ind w:left="426" w:right="-20" w:hanging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— степень ригидности поведения в ситуации эмоционального неблагополучия;</w:t>
      </w:r>
    </w:p>
    <w:p w:rsidR="00185E76" w:rsidRPr="00185E76" w:rsidRDefault="00185E76" w:rsidP="00185E76">
      <w:pPr>
        <w:spacing w:after="0" w:line="240" w:lineRule="auto"/>
        <w:ind w:left="426" w:right="-20" w:hanging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— сила мотива и личностная значимость деятельности.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right="-20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Кроме того, выявляется степень развития интеллектуально-логических действий и тип интеллектуальной продуктивности.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right="-20"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lastRenderedPageBreak/>
        <w:t>Применение компьютера позволяет выполнить дальнейшие модификации методики и применить ее к абсолютно нетрадиционным аспектам регуляции деятельности. При внесении некоторых дополнений в процедуру обработки данных и проведения эксперимента методика УП может быть применена к новому кругу диагностических задач. В настоящее время разрабатываются варианты методики, применимые для диагностики таких особенностей субъекта, как импульсивность, разработанность и глубина временн</w:t>
      </w:r>
      <w:r w:rsidRPr="00185E76">
        <w:rPr>
          <w:rFonts w:eastAsia="Times New Roman"/>
          <w:b/>
          <w:bCs/>
          <w:szCs w:val="20"/>
          <w:lang w:eastAsia="ru-RU"/>
        </w:rPr>
        <w:t>о</w:t>
      </w:r>
      <w:r w:rsidRPr="00185E76">
        <w:rPr>
          <w:rFonts w:eastAsia="Times New Roman"/>
          <w:szCs w:val="20"/>
          <w:lang w:eastAsia="ru-RU"/>
        </w:rPr>
        <w:t>й перспективы, диагностика типа выхода из конфликтной ситуации и значимость оценок окружающих для субъекта. Дальнейшее усложнение методики делает компьютерный вариант ее проведения и обработки данных единственно возможным, расширяет потенциальный круг пользователей методики и дает многочисленные количественные и качественные сдвиги  в практическом применении предлагаемого метода (см. табл.).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0"/>
          <w:lang w:eastAsia="ru-RU"/>
        </w:rPr>
      </w:pPr>
      <w:r w:rsidRPr="00185E76">
        <w:rPr>
          <w:rFonts w:eastAsia="Times New Roman"/>
          <w:szCs w:val="20"/>
          <w:lang w:eastAsia="ru-RU"/>
        </w:rPr>
        <w:t>По всем вопросам практического и методического применения предлагаемого экспериментального подхода, программное обеспечение которого разработано для ЭВМ типа Р</w:t>
      </w:r>
      <w:proofErr w:type="gramStart"/>
      <w:r w:rsidRPr="00185E76">
        <w:rPr>
          <w:rFonts w:eastAsia="Times New Roman"/>
          <w:szCs w:val="20"/>
          <w:lang w:val="en-US" w:eastAsia="ru-RU"/>
        </w:rPr>
        <w:t>D</w:t>
      </w:r>
      <w:proofErr w:type="gramEnd"/>
      <w:r w:rsidRPr="00185E76">
        <w:rPr>
          <w:rFonts w:eastAsia="Times New Roman"/>
          <w:szCs w:val="20"/>
          <w:lang w:eastAsia="ru-RU"/>
        </w:rPr>
        <w:t>Р- 11 и IВМ РС, можно обращаться к авторам данной статьи по адресу: 103009 Москва, пр. Маркса, 18, корп. 5, факультет психологии МГУ.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rPr>
          <w:rFonts w:eastAsia="Times New Roman"/>
          <w:szCs w:val="20"/>
          <w:lang w:eastAsia="ru-RU"/>
        </w:rPr>
      </w:pPr>
    </w:p>
    <w:p w:rsidR="00185E76" w:rsidRPr="00185E76" w:rsidRDefault="00185E76" w:rsidP="00185E76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2"/>
          <w:szCs w:val="20"/>
          <w:lang w:eastAsia="ru-RU"/>
        </w:rPr>
      </w:pPr>
      <w:bookmarkStart w:id="1" w:name="a1"/>
      <w:r w:rsidRPr="00185E76">
        <w:rPr>
          <w:rFonts w:eastAsia="Times New Roman"/>
          <w:sz w:val="22"/>
          <w:szCs w:val="20"/>
          <w:lang w:eastAsia="ru-RU"/>
        </w:rPr>
        <w:t>1.</w:t>
      </w:r>
      <w:bookmarkEnd w:id="1"/>
      <w:r w:rsidRPr="00185E76">
        <w:rPr>
          <w:rFonts w:eastAsia="Times New Roman"/>
          <w:sz w:val="22"/>
          <w:szCs w:val="20"/>
          <w:lang w:eastAsia="ru-RU"/>
        </w:rPr>
        <w:t xml:space="preserve"> </w:t>
      </w:r>
      <w:r w:rsidRPr="00185E76">
        <w:rPr>
          <w:rFonts w:eastAsia="Times New Roman"/>
          <w:i/>
          <w:sz w:val="22"/>
          <w:szCs w:val="20"/>
          <w:lang w:eastAsia="ru-RU"/>
        </w:rPr>
        <w:t>Арестова О. Н.</w:t>
      </w:r>
      <w:r w:rsidRPr="00185E76">
        <w:rPr>
          <w:rFonts w:eastAsia="Times New Roman"/>
          <w:sz w:val="22"/>
          <w:szCs w:val="20"/>
          <w:lang w:eastAsia="ru-RU"/>
        </w:rPr>
        <w:t xml:space="preserve"> Мотивация мыслительной деятельности в условиях компьютерного психологического эксперимента: Канд. </w:t>
      </w:r>
      <w:proofErr w:type="spellStart"/>
      <w:r w:rsidRPr="00185E76">
        <w:rPr>
          <w:rFonts w:eastAsia="Times New Roman"/>
          <w:sz w:val="22"/>
          <w:szCs w:val="20"/>
          <w:lang w:eastAsia="ru-RU"/>
        </w:rPr>
        <w:t>дис</w:t>
      </w:r>
      <w:proofErr w:type="spellEnd"/>
      <w:r w:rsidRPr="00185E76">
        <w:rPr>
          <w:rFonts w:eastAsia="Times New Roman"/>
          <w:sz w:val="22"/>
          <w:szCs w:val="20"/>
          <w:lang w:eastAsia="ru-RU"/>
        </w:rPr>
        <w:t>. М., 1968.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2"/>
          <w:szCs w:val="20"/>
          <w:lang w:eastAsia="ru-RU"/>
        </w:rPr>
      </w:pPr>
      <w:bookmarkStart w:id="2" w:name="a2"/>
      <w:r w:rsidRPr="00185E76">
        <w:rPr>
          <w:rFonts w:eastAsia="Times New Roman"/>
          <w:sz w:val="22"/>
          <w:szCs w:val="20"/>
          <w:lang w:eastAsia="ru-RU"/>
        </w:rPr>
        <w:t>2.</w:t>
      </w:r>
      <w:bookmarkEnd w:id="2"/>
      <w:r w:rsidRPr="00185E76">
        <w:rPr>
          <w:rFonts w:eastAsia="Times New Roman"/>
          <w:sz w:val="22"/>
          <w:szCs w:val="20"/>
          <w:lang w:eastAsia="ru-RU"/>
        </w:rPr>
        <w:t xml:space="preserve"> </w:t>
      </w:r>
      <w:r w:rsidRPr="00185E76">
        <w:rPr>
          <w:rFonts w:eastAsia="Times New Roman"/>
          <w:i/>
          <w:sz w:val="22"/>
          <w:szCs w:val="20"/>
          <w:lang w:eastAsia="ru-RU"/>
        </w:rPr>
        <w:t>Арестова О. Н., Бабанин Л. Н., Тихомиров О. К.</w:t>
      </w:r>
      <w:r w:rsidRPr="00185E76">
        <w:rPr>
          <w:rFonts w:eastAsia="Times New Roman"/>
          <w:sz w:val="22"/>
          <w:szCs w:val="20"/>
          <w:lang w:eastAsia="ru-RU"/>
        </w:rPr>
        <w:t xml:space="preserve"> Компьютерный анализ мотивации мыслительной деятельности: возможности и ограничения // </w:t>
      </w:r>
      <w:hyperlink r:id="rId17" w:history="1">
        <w:proofErr w:type="spellStart"/>
        <w:r w:rsidRPr="00185E76">
          <w:rPr>
            <w:rFonts w:eastAsia="Times New Roman"/>
            <w:color w:val="994779"/>
            <w:sz w:val="22"/>
            <w:szCs w:val="20"/>
            <w:u w:val="single"/>
            <w:lang w:eastAsia="ru-RU"/>
          </w:rPr>
          <w:t>Вопр</w:t>
        </w:r>
        <w:proofErr w:type="spellEnd"/>
        <w:r w:rsidRPr="00185E76">
          <w:rPr>
            <w:rFonts w:eastAsia="Times New Roman"/>
            <w:color w:val="994779"/>
            <w:sz w:val="22"/>
            <w:szCs w:val="20"/>
            <w:u w:val="single"/>
            <w:lang w:eastAsia="ru-RU"/>
          </w:rPr>
          <w:t>. психол. 1988. № 5. С. 83 – 91.</w:t>
        </w:r>
      </w:hyperlink>
    </w:p>
    <w:p w:rsidR="00185E76" w:rsidRPr="00185E76" w:rsidRDefault="00185E76" w:rsidP="00185E76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2"/>
          <w:szCs w:val="20"/>
          <w:lang w:eastAsia="ru-RU"/>
        </w:rPr>
      </w:pPr>
      <w:bookmarkStart w:id="3" w:name="a3"/>
      <w:r w:rsidRPr="00185E76">
        <w:rPr>
          <w:rFonts w:eastAsia="Times New Roman"/>
          <w:sz w:val="22"/>
          <w:szCs w:val="20"/>
          <w:lang w:eastAsia="ru-RU"/>
        </w:rPr>
        <w:t>3.</w:t>
      </w:r>
      <w:bookmarkEnd w:id="3"/>
      <w:r w:rsidRPr="00185E76">
        <w:rPr>
          <w:rFonts w:eastAsia="Times New Roman"/>
          <w:sz w:val="22"/>
          <w:szCs w:val="20"/>
          <w:lang w:eastAsia="ru-RU"/>
        </w:rPr>
        <w:t xml:space="preserve"> </w:t>
      </w:r>
      <w:r w:rsidRPr="00185E76">
        <w:rPr>
          <w:rFonts w:eastAsia="Times New Roman"/>
          <w:i/>
          <w:sz w:val="22"/>
          <w:szCs w:val="20"/>
          <w:lang w:eastAsia="ru-RU"/>
        </w:rPr>
        <w:t>Бороздина Л. В.</w:t>
      </w:r>
      <w:r w:rsidRPr="00185E76">
        <w:rPr>
          <w:rFonts w:eastAsia="Times New Roman"/>
          <w:sz w:val="22"/>
          <w:szCs w:val="20"/>
          <w:lang w:eastAsia="ru-RU"/>
        </w:rPr>
        <w:t xml:space="preserve"> Исследование уровня притязаний. М., 1985.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2"/>
          <w:szCs w:val="20"/>
          <w:lang w:eastAsia="ru-RU"/>
        </w:rPr>
      </w:pPr>
      <w:bookmarkStart w:id="4" w:name="a4"/>
      <w:r w:rsidRPr="00185E76">
        <w:rPr>
          <w:rFonts w:eastAsia="Times New Roman"/>
          <w:sz w:val="22"/>
          <w:szCs w:val="20"/>
          <w:lang w:eastAsia="ru-RU"/>
        </w:rPr>
        <w:t>4.</w:t>
      </w:r>
      <w:bookmarkEnd w:id="4"/>
      <w:r w:rsidRPr="00185E76">
        <w:rPr>
          <w:rFonts w:eastAsia="Times New Roman"/>
          <w:sz w:val="22"/>
          <w:szCs w:val="20"/>
          <w:lang w:eastAsia="ru-RU"/>
        </w:rPr>
        <w:t xml:space="preserve"> </w:t>
      </w:r>
      <w:r w:rsidRPr="00185E76">
        <w:rPr>
          <w:rFonts w:eastAsia="Times New Roman"/>
          <w:i/>
          <w:sz w:val="22"/>
          <w:szCs w:val="20"/>
          <w:lang w:eastAsia="ru-RU"/>
        </w:rPr>
        <w:t>Васильев И. А., Магомед-</w:t>
      </w:r>
      <w:proofErr w:type="spellStart"/>
      <w:r w:rsidRPr="00185E76">
        <w:rPr>
          <w:rFonts w:eastAsia="Times New Roman"/>
          <w:i/>
          <w:sz w:val="22"/>
          <w:szCs w:val="20"/>
          <w:lang w:eastAsia="ru-RU"/>
        </w:rPr>
        <w:t>Эминов</w:t>
      </w:r>
      <w:proofErr w:type="spellEnd"/>
      <w:r w:rsidRPr="00185E76">
        <w:rPr>
          <w:rFonts w:eastAsia="Times New Roman"/>
          <w:i/>
          <w:sz w:val="22"/>
          <w:szCs w:val="20"/>
          <w:lang w:eastAsia="ru-RU"/>
        </w:rPr>
        <w:t xml:space="preserve"> М. Ш. </w:t>
      </w:r>
      <w:r w:rsidRPr="00185E76">
        <w:rPr>
          <w:rFonts w:eastAsia="Times New Roman"/>
          <w:sz w:val="22"/>
          <w:szCs w:val="20"/>
          <w:lang w:eastAsia="ru-RU"/>
        </w:rPr>
        <w:t xml:space="preserve">Мотивация и </w:t>
      </w:r>
      <w:proofErr w:type="gramStart"/>
      <w:r w:rsidRPr="00185E76">
        <w:rPr>
          <w:rFonts w:eastAsia="Times New Roman"/>
          <w:sz w:val="22"/>
          <w:szCs w:val="20"/>
          <w:lang w:eastAsia="ru-RU"/>
        </w:rPr>
        <w:t>контроль за</w:t>
      </w:r>
      <w:proofErr w:type="gramEnd"/>
      <w:r w:rsidRPr="00185E76">
        <w:rPr>
          <w:rFonts w:eastAsia="Times New Roman"/>
          <w:sz w:val="22"/>
          <w:szCs w:val="20"/>
          <w:lang w:eastAsia="ru-RU"/>
        </w:rPr>
        <w:t xml:space="preserve"> действием. М., 1991.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2"/>
          <w:szCs w:val="20"/>
          <w:lang w:eastAsia="ru-RU"/>
        </w:rPr>
      </w:pPr>
      <w:bookmarkStart w:id="5" w:name="a5"/>
      <w:r w:rsidRPr="00185E76">
        <w:rPr>
          <w:rFonts w:eastAsia="Times New Roman"/>
          <w:sz w:val="22"/>
          <w:szCs w:val="20"/>
          <w:lang w:eastAsia="ru-RU"/>
        </w:rPr>
        <w:t>5.</w:t>
      </w:r>
      <w:bookmarkEnd w:id="5"/>
      <w:r w:rsidRPr="00185E76">
        <w:rPr>
          <w:rFonts w:eastAsia="Times New Roman"/>
          <w:sz w:val="22"/>
          <w:szCs w:val="20"/>
          <w:lang w:eastAsia="ru-RU"/>
        </w:rPr>
        <w:t xml:space="preserve"> </w:t>
      </w:r>
      <w:proofErr w:type="spellStart"/>
      <w:r w:rsidRPr="00185E76">
        <w:rPr>
          <w:rFonts w:eastAsia="Times New Roman"/>
          <w:i/>
          <w:sz w:val="22"/>
          <w:szCs w:val="20"/>
          <w:lang w:eastAsia="ru-RU"/>
        </w:rPr>
        <w:t>Неймарк</w:t>
      </w:r>
      <w:proofErr w:type="spellEnd"/>
      <w:r w:rsidRPr="00185E76">
        <w:rPr>
          <w:rFonts w:eastAsia="Times New Roman"/>
          <w:i/>
          <w:sz w:val="22"/>
          <w:szCs w:val="20"/>
          <w:lang w:eastAsia="ru-RU"/>
        </w:rPr>
        <w:t xml:space="preserve"> М. С.</w:t>
      </w:r>
      <w:r w:rsidRPr="00185E76">
        <w:rPr>
          <w:rFonts w:eastAsia="Times New Roman"/>
          <w:sz w:val="22"/>
          <w:szCs w:val="20"/>
          <w:lang w:eastAsia="ru-RU"/>
        </w:rPr>
        <w:t xml:space="preserve"> Направленность личности и аффект неадекватности у подростков // Изучение мотивации поведения детей и подростков / Под ред. </w:t>
      </w:r>
      <w:proofErr w:type="spellStart"/>
      <w:r w:rsidRPr="00185E76">
        <w:rPr>
          <w:rFonts w:eastAsia="Times New Roman"/>
          <w:sz w:val="22"/>
          <w:szCs w:val="20"/>
          <w:lang w:eastAsia="ru-RU"/>
        </w:rPr>
        <w:t>Л.И.Божович</w:t>
      </w:r>
      <w:proofErr w:type="spellEnd"/>
      <w:r w:rsidRPr="00185E76">
        <w:rPr>
          <w:rFonts w:eastAsia="Times New Roman"/>
          <w:sz w:val="22"/>
          <w:szCs w:val="20"/>
          <w:lang w:eastAsia="ru-RU"/>
        </w:rPr>
        <w:t xml:space="preserve">, </w:t>
      </w:r>
      <w:proofErr w:type="spellStart"/>
      <w:r w:rsidRPr="00185E76">
        <w:rPr>
          <w:rFonts w:eastAsia="Times New Roman"/>
          <w:sz w:val="22"/>
          <w:szCs w:val="20"/>
          <w:lang w:eastAsia="ru-RU"/>
        </w:rPr>
        <w:t>Л.В.Благонадежиной</w:t>
      </w:r>
      <w:proofErr w:type="spellEnd"/>
      <w:r w:rsidRPr="00185E76">
        <w:rPr>
          <w:rFonts w:eastAsia="Times New Roman"/>
          <w:sz w:val="22"/>
          <w:szCs w:val="20"/>
          <w:lang w:eastAsia="ru-RU"/>
        </w:rPr>
        <w:t>. М., 1972.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2"/>
          <w:szCs w:val="20"/>
          <w:lang w:eastAsia="ru-RU"/>
        </w:rPr>
      </w:pPr>
      <w:bookmarkStart w:id="6" w:name="a6"/>
      <w:r w:rsidRPr="00185E76">
        <w:rPr>
          <w:rFonts w:eastAsia="Times New Roman"/>
          <w:sz w:val="22"/>
          <w:szCs w:val="20"/>
          <w:lang w:eastAsia="ru-RU"/>
        </w:rPr>
        <w:t>6.</w:t>
      </w:r>
      <w:bookmarkEnd w:id="6"/>
      <w:r w:rsidRPr="00185E76">
        <w:rPr>
          <w:rFonts w:eastAsia="Times New Roman"/>
          <w:sz w:val="22"/>
          <w:szCs w:val="20"/>
          <w:lang w:eastAsia="ru-RU"/>
        </w:rPr>
        <w:t xml:space="preserve"> </w:t>
      </w:r>
      <w:r w:rsidRPr="00185E76">
        <w:rPr>
          <w:rFonts w:eastAsia="Times New Roman"/>
          <w:i/>
          <w:sz w:val="22"/>
          <w:szCs w:val="20"/>
          <w:lang w:eastAsia="ru-RU"/>
        </w:rPr>
        <w:t xml:space="preserve">Рубинштейн С. Я. </w:t>
      </w:r>
      <w:r w:rsidRPr="00185E76">
        <w:rPr>
          <w:rFonts w:eastAsia="Times New Roman"/>
          <w:sz w:val="22"/>
          <w:szCs w:val="20"/>
          <w:lang w:eastAsia="ru-RU"/>
        </w:rPr>
        <w:t>Экспериментальные методики патопсихологии. М., 1978.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2"/>
          <w:szCs w:val="20"/>
          <w:lang w:val="en-US" w:eastAsia="ru-RU"/>
        </w:rPr>
      </w:pPr>
      <w:bookmarkStart w:id="7" w:name="a7"/>
      <w:r w:rsidRPr="00185E76">
        <w:rPr>
          <w:rFonts w:eastAsia="Times New Roman"/>
          <w:sz w:val="22"/>
          <w:szCs w:val="20"/>
          <w:lang w:eastAsia="ru-RU"/>
        </w:rPr>
        <w:t>7.</w:t>
      </w:r>
      <w:bookmarkEnd w:id="7"/>
      <w:r w:rsidRPr="00185E76">
        <w:rPr>
          <w:rFonts w:eastAsia="Times New Roman"/>
          <w:sz w:val="22"/>
          <w:szCs w:val="20"/>
          <w:lang w:eastAsia="ru-RU"/>
        </w:rPr>
        <w:t xml:space="preserve"> </w:t>
      </w:r>
      <w:proofErr w:type="spellStart"/>
      <w:r w:rsidRPr="00185E76">
        <w:rPr>
          <w:rFonts w:eastAsia="Times New Roman"/>
          <w:i/>
          <w:sz w:val="22"/>
          <w:szCs w:val="20"/>
          <w:lang w:eastAsia="ru-RU"/>
        </w:rPr>
        <w:t>Хекхаузен</w:t>
      </w:r>
      <w:proofErr w:type="spellEnd"/>
      <w:r w:rsidRPr="00185E76">
        <w:rPr>
          <w:rFonts w:eastAsia="Times New Roman"/>
          <w:i/>
          <w:sz w:val="22"/>
          <w:szCs w:val="20"/>
          <w:lang w:eastAsia="ru-RU"/>
        </w:rPr>
        <w:t xml:space="preserve"> X.</w:t>
      </w:r>
      <w:r w:rsidRPr="00185E76">
        <w:rPr>
          <w:rFonts w:eastAsia="Times New Roman"/>
          <w:sz w:val="22"/>
          <w:szCs w:val="20"/>
          <w:lang w:eastAsia="ru-RU"/>
        </w:rPr>
        <w:t xml:space="preserve"> Мотивация и деятельность: В 2 т. Т. </w:t>
      </w:r>
      <w:smartTag w:uri="urn:schemas-microsoft-com:office:smarttags" w:element="metricconverter">
        <w:smartTagPr>
          <w:attr w:name="productid" w:val="2. М"/>
        </w:smartTagPr>
        <w:r w:rsidRPr="00185E76">
          <w:rPr>
            <w:rFonts w:eastAsia="Times New Roman"/>
            <w:sz w:val="22"/>
            <w:szCs w:val="20"/>
            <w:lang w:eastAsia="ru-RU"/>
          </w:rPr>
          <w:t>2. М</w:t>
        </w:r>
      </w:smartTag>
      <w:r w:rsidRPr="00185E76">
        <w:rPr>
          <w:rFonts w:eastAsia="Times New Roman"/>
          <w:sz w:val="22"/>
          <w:szCs w:val="20"/>
          <w:lang w:val="en-US" w:eastAsia="ru-RU"/>
        </w:rPr>
        <w:t>., 1986.</w:t>
      </w:r>
    </w:p>
    <w:p w:rsidR="00185E76" w:rsidRPr="00185E76" w:rsidRDefault="00185E76" w:rsidP="00185E76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lang w:eastAsia="ru-RU"/>
        </w:rPr>
      </w:pPr>
      <w:bookmarkStart w:id="8" w:name="a8"/>
      <w:r w:rsidRPr="00185E76">
        <w:rPr>
          <w:rFonts w:eastAsia="Times New Roman"/>
          <w:sz w:val="22"/>
          <w:szCs w:val="20"/>
          <w:lang w:val="en-US" w:eastAsia="ru-RU"/>
        </w:rPr>
        <w:t xml:space="preserve">8. </w:t>
      </w:r>
      <w:bookmarkEnd w:id="8"/>
      <w:r w:rsidRPr="00185E76">
        <w:rPr>
          <w:rFonts w:eastAsia="Times New Roman"/>
          <w:i/>
          <w:sz w:val="22"/>
          <w:szCs w:val="20"/>
          <w:lang w:val="en-US" w:eastAsia="ru-RU"/>
        </w:rPr>
        <w:t>Lewin K</w:t>
      </w:r>
      <w:r w:rsidRPr="00185E76">
        <w:rPr>
          <w:rFonts w:eastAsia="Times New Roman"/>
          <w:sz w:val="22"/>
          <w:szCs w:val="20"/>
          <w:lang w:val="en-US" w:eastAsia="ru-RU"/>
        </w:rPr>
        <w:t xml:space="preserve">. </w:t>
      </w:r>
      <w:proofErr w:type="gramStart"/>
      <w:r w:rsidRPr="00185E76">
        <w:rPr>
          <w:rFonts w:eastAsia="Times New Roman"/>
          <w:sz w:val="22"/>
          <w:szCs w:val="20"/>
          <w:lang w:val="en-US" w:eastAsia="ru-RU"/>
        </w:rPr>
        <w:t xml:space="preserve">A </w:t>
      </w:r>
      <w:proofErr w:type="spellStart"/>
      <w:r w:rsidRPr="00185E76">
        <w:rPr>
          <w:rFonts w:eastAsia="Times New Roman"/>
          <w:sz w:val="22"/>
          <w:szCs w:val="20"/>
          <w:lang w:val="en-US" w:eastAsia="ru-RU"/>
        </w:rPr>
        <w:t>dynamiс</w:t>
      </w:r>
      <w:proofErr w:type="spellEnd"/>
      <w:r w:rsidRPr="00185E76">
        <w:rPr>
          <w:rFonts w:eastAsia="Times New Roman"/>
          <w:sz w:val="22"/>
          <w:szCs w:val="20"/>
          <w:lang w:val="en-US" w:eastAsia="ru-RU"/>
        </w:rPr>
        <w:t xml:space="preserve"> theory of personality.</w:t>
      </w:r>
      <w:proofErr w:type="gramEnd"/>
      <w:r w:rsidRPr="00185E76">
        <w:rPr>
          <w:rFonts w:eastAsia="Times New Roman"/>
          <w:sz w:val="22"/>
          <w:szCs w:val="20"/>
          <w:lang w:val="en-US" w:eastAsia="ru-RU"/>
        </w:rPr>
        <w:t xml:space="preserve"> </w:t>
      </w:r>
      <w:proofErr w:type="gramStart"/>
      <w:r w:rsidRPr="00185E76">
        <w:rPr>
          <w:rFonts w:eastAsia="Times New Roman"/>
          <w:sz w:val="22"/>
          <w:szCs w:val="20"/>
          <w:lang w:val="en-US" w:eastAsia="ru-RU"/>
        </w:rPr>
        <w:t>N</w:t>
      </w:r>
      <w:r w:rsidRPr="00185E76">
        <w:rPr>
          <w:rFonts w:eastAsia="Times New Roman"/>
          <w:sz w:val="22"/>
          <w:szCs w:val="20"/>
          <w:lang w:eastAsia="ru-RU"/>
        </w:rPr>
        <w:t>.</w:t>
      </w:r>
      <w:r w:rsidRPr="00185E76">
        <w:rPr>
          <w:rFonts w:eastAsia="Times New Roman"/>
          <w:sz w:val="22"/>
          <w:szCs w:val="20"/>
          <w:lang w:val="en-US" w:eastAsia="ru-RU"/>
        </w:rPr>
        <w:t>Y</w:t>
      </w:r>
      <w:r w:rsidRPr="00185E76">
        <w:rPr>
          <w:rFonts w:eastAsia="Times New Roman"/>
          <w:sz w:val="22"/>
          <w:szCs w:val="20"/>
          <w:lang w:eastAsia="ru-RU"/>
        </w:rPr>
        <w:t>., 1953.</w:t>
      </w:r>
      <w:proofErr w:type="gramEnd"/>
    </w:p>
    <w:p w:rsidR="00394891" w:rsidRDefault="00394891"/>
    <w:sectPr w:rsidR="0039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6"/>
    <w:rsid w:val="00185E76"/>
    <w:rsid w:val="00394891"/>
    <w:rsid w:val="00686776"/>
    <w:rsid w:val="006D5DFF"/>
    <w:rsid w:val="007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ppsy.ru/issues/1992/921/921152.htm" TargetMode="External"/><Relationship Id="rId13" Type="http://schemas.openxmlformats.org/officeDocument/2006/relationships/hyperlink" Target="http://voppsy.ru/issues/1992/921/921152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ppsy.ru/issues/1992/921/921152.htm" TargetMode="External"/><Relationship Id="rId12" Type="http://schemas.openxmlformats.org/officeDocument/2006/relationships/hyperlink" Target="http://voppsy.ru/issues/1992/921/921152.htm" TargetMode="External"/><Relationship Id="rId17" Type="http://schemas.openxmlformats.org/officeDocument/2006/relationships/hyperlink" Target="http://voppsy.ru/issues/1988/885/885083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oppsy.ru/issues/1992/921/92115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voppsy.ru/issues/1992/921/921152.htm" TargetMode="External"/><Relationship Id="rId11" Type="http://schemas.openxmlformats.org/officeDocument/2006/relationships/hyperlink" Target="http://voppsy.ru/issues/1992/921/921152.htm" TargetMode="External"/><Relationship Id="rId5" Type="http://schemas.openxmlformats.org/officeDocument/2006/relationships/hyperlink" Target="http://voppsy.ru/issues/1992/921/921152.htm" TargetMode="External"/><Relationship Id="rId15" Type="http://schemas.openxmlformats.org/officeDocument/2006/relationships/hyperlink" Target="http://voppsy.ru/issues/1992/921/921152.htm" TargetMode="External"/><Relationship Id="rId10" Type="http://schemas.openxmlformats.org/officeDocument/2006/relationships/hyperlink" Target="http://voppsy.ru/issues/1992/921/921152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oppsy.ru/issues/1992/921/921152.htm" TargetMode="External"/><Relationship Id="rId14" Type="http://schemas.openxmlformats.org/officeDocument/2006/relationships/hyperlink" Target="http://voppsy.ru/issues/1992/921/92115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2014-11-18T20:59:00Z</dcterms:created>
  <dcterms:modified xsi:type="dcterms:W3CDTF">2014-11-18T21:00:00Z</dcterms:modified>
</cp:coreProperties>
</file>