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BBF" w:rsidRPr="0042437D" w:rsidRDefault="00FC4B74" w:rsidP="00940207">
      <w:pPr>
        <w:spacing w:line="240" w:lineRule="auto"/>
        <w:ind w:left="-567" w:right="283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37D">
        <w:rPr>
          <w:rFonts w:ascii="Times New Roman" w:hAnsi="Times New Roman" w:cs="Times New Roman"/>
          <w:b/>
          <w:sz w:val="24"/>
          <w:szCs w:val="24"/>
        </w:rPr>
        <w:t xml:space="preserve">Роль паевых инвестиционных фондов в </w:t>
      </w:r>
      <w:r w:rsidR="00AE3603" w:rsidRPr="0042437D">
        <w:rPr>
          <w:rFonts w:ascii="Times New Roman" w:hAnsi="Times New Roman" w:cs="Times New Roman"/>
          <w:b/>
          <w:sz w:val="24"/>
          <w:szCs w:val="24"/>
        </w:rPr>
        <w:t xml:space="preserve">инвестиционных </w:t>
      </w:r>
      <w:r w:rsidR="00D44116" w:rsidRPr="0042437D">
        <w:rPr>
          <w:rFonts w:ascii="Times New Roman" w:hAnsi="Times New Roman" w:cs="Times New Roman"/>
          <w:b/>
          <w:sz w:val="24"/>
          <w:szCs w:val="24"/>
        </w:rPr>
        <w:t xml:space="preserve">предпочтениях </w:t>
      </w:r>
      <w:r w:rsidR="006D6E3B" w:rsidRPr="0042437D">
        <w:rPr>
          <w:rFonts w:ascii="Times New Roman" w:hAnsi="Times New Roman" w:cs="Times New Roman"/>
          <w:b/>
          <w:sz w:val="24"/>
          <w:szCs w:val="24"/>
        </w:rPr>
        <w:t xml:space="preserve">российских </w:t>
      </w:r>
      <w:r w:rsidR="00D44116" w:rsidRPr="0042437D">
        <w:rPr>
          <w:rFonts w:ascii="Times New Roman" w:hAnsi="Times New Roman" w:cs="Times New Roman"/>
          <w:b/>
          <w:sz w:val="24"/>
          <w:szCs w:val="24"/>
        </w:rPr>
        <w:t>инвесторов</w:t>
      </w:r>
    </w:p>
    <w:p w:rsidR="00D44116" w:rsidRPr="0042437D" w:rsidRDefault="00D44116" w:rsidP="00940207">
      <w:pPr>
        <w:spacing w:line="240" w:lineRule="auto"/>
        <w:ind w:left="-567" w:right="28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2437D">
        <w:rPr>
          <w:rFonts w:ascii="Times New Roman" w:hAnsi="Times New Roman" w:cs="Times New Roman"/>
          <w:sz w:val="24"/>
          <w:szCs w:val="24"/>
        </w:rPr>
        <w:t>В настоящее время паевые инвестиционные фонды (</w:t>
      </w:r>
      <w:proofErr w:type="spellStart"/>
      <w:r w:rsidRPr="0042437D">
        <w:rPr>
          <w:rFonts w:ascii="Times New Roman" w:hAnsi="Times New Roman" w:cs="Times New Roman"/>
          <w:sz w:val="24"/>
          <w:szCs w:val="24"/>
        </w:rPr>
        <w:t>ПИФы</w:t>
      </w:r>
      <w:proofErr w:type="spellEnd"/>
      <w:r w:rsidRPr="0042437D">
        <w:rPr>
          <w:rFonts w:ascii="Times New Roman" w:hAnsi="Times New Roman" w:cs="Times New Roman"/>
          <w:sz w:val="24"/>
          <w:szCs w:val="24"/>
        </w:rPr>
        <w:t xml:space="preserve">) являются не самым популярным инструментом вложений.  Многие инвесторы, успевшие перевести средства в </w:t>
      </w:r>
      <w:proofErr w:type="spellStart"/>
      <w:r w:rsidRPr="0042437D">
        <w:rPr>
          <w:rFonts w:ascii="Times New Roman" w:hAnsi="Times New Roman" w:cs="Times New Roman"/>
          <w:sz w:val="24"/>
          <w:szCs w:val="24"/>
        </w:rPr>
        <w:t>ПИФ</w:t>
      </w:r>
      <w:r w:rsidR="00076D81" w:rsidRPr="0042437D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42437D">
        <w:rPr>
          <w:rFonts w:ascii="Times New Roman" w:hAnsi="Times New Roman" w:cs="Times New Roman"/>
          <w:sz w:val="24"/>
          <w:szCs w:val="24"/>
        </w:rPr>
        <w:t xml:space="preserve"> в начале 2000-х годов, потеряли их во время кризиса 2008 года и навсегда исключили из своего </w:t>
      </w:r>
      <w:r w:rsidR="00AE3603" w:rsidRPr="0042437D">
        <w:rPr>
          <w:rFonts w:ascii="Times New Roman" w:hAnsi="Times New Roman" w:cs="Times New Roman"/>
          <w:sz w:val="24"/>
          <w:szCs w:val="24"/>
        </w:rPr>
        <w:t xml:space="preserve">инвестиционного </w:t>
      </w:r>
      <w:r w:rsidRPr="0042437D">
        <w:rPr>
          <w:rFonts w:ascii="Times New Roman" w:hAnsi="Times New Roman" w:cs="Times New Roman"/>
          <w:sz w:val="24"/>
          <w:szCs w:val="24"/>
        </w:rPr>
        <w:t>портфеля этот инструмент. Те же, кто не успел поучаствовать в коллективном инвестировании, не спеш</w:t>
      </w:r>
      <w:r w:rsidR="00076D81" w:rsidRPr="0042437D">
        <w:rPr>
          <w:rFonts w:ascii="Times New Roman" w:hAnsi="Times New Roman" w:cs="Times New Roman"/>
          <w:sz w:val="24"/>
          <w:szCs w:val="24"/>
        </w:rPr>
        <w:t>а</w:t>
      </w:r>
      <w:r w:rsidRPr="0042437D">
        <w:rPr>
          <w:rFonts w:ascii="Times New Roman" w:hAnsi="Times New Roman" w:cs="Times New Roman"/>
          <w:sz w:val="24"/>
          <w:szCs w:val="24"/>
        </w:rPr>
        <w:t xml:space="preserve">т начинать это </w:t>
      </w:r>
      <w:r w:rsidR="00076D81" w:rsidRPr="0042437D">
        <w:rPr>
          <w:rFonts w:ascii="Times New Roman" w:hAnsi="Times New Roman" w:cs="Times New Roman"/>
          <w:sz w:val="24"/>
          <w:szCs w:val="24"/>
        </w:rPr>
        <w:t xml:space="preserve">делать </w:t>
      </w:r>
      <w:r w:rsidRPr="0042437D">
        <w:rPr>
          <w:rFonts w:ascii="Times New Roman" w:hAnsi="Times New Roman" w:cs="Times New Roman"/>
          <w:sz w:val="24"/>
          <w:szCs w:val="24"/>
        </w:rPr>
        <w:t xml:space="preserve">сейчас, ориентируясь </w:t>
      </w:r>
      <w:r w:rsidR="0042437D">
        <w:rPr>
          <w:rFonts w:ascii="Times New Roman" w:hAnsi="Times New Roman" w:cs="Times New Roman"/>
          <w:sz w:val="24"/>
          <w:szCs w:val="24"/>
        </w:rPr>
        <w:t xml:space="preserve">на </w:t>
      </w:r>
      <w:r w:rsidRPr="0042437D">
        <w:rPr>
          <w:rFonts w:ascii="Times New Roman" w:hAnsi="Times New Roman" w:cs="Times New Roman"/>
          <w:sz w:val="24"/>
          <w:szCs w:val="24"/>
        </w:rPr>
        <w:t>низкий уровень доходности</w:t>
      </w:r>
      <w:r w:rsidR="00076D81" w:rsidRPr="00424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D81" w:rsidRPr="0042437D">
        <w:rPr>
          <w:rFonts w:ascii="Times New Roman" w:hAnsi="Times New Roman" w:cs="Times New Roman"/>
          <w:sz w:val="24"/>
          <w:szCs w:val="24"/>
        </w:rPr>
        <w:t>ПИФов</w:t>
      </w:r>
      <w:proofErr w:type="spellEnd"/>
      <w:r w:rsidRPr="0042437D">
        <w:rPr>
          <w:rFonts w:ascii="Times New Roman" w:hAnsi="Times New Roman" w:cs="Times New Roman"/>
          <w:sz w:val="24"/>
          <w:szCs w:val="24"/>
        </w:rPr>
        <w:t>.</w:t>
      </w:r>
      <w:r w:rsidR="00AE3603" w:rsidRPr="004243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E3603" w:rsidRPr="0042437D">
        <w:rPr>
          <w:rFonts w:ascii="Times New Roman" w:hAnsi="Times New Roman" w:cs="Times New Roman"/>
          <w:sz w:val="24"/>
          <w:szCs w:val="24"/>
        </w:rPr>
        <w:t>Действительно ли</w:t>
      </w:r>
      <w:r w:rsidR="00076D81" w:rsidRPr="0042437D">
        <w:rPr>
          <w:rFonts w:ascii="Times New Roman" w:hAnsi="Times New Roman" w:cs="Times New Roman"/>
          <w:sz w:val="24"/>
          <w:szCs w:val="24"/>
        </w:rPr>
        <w:t xml:space="preserve"> </w:t>
      </w:r>
      <w:r w:rsidR="0042437D" w:rsidRPr="0042437D">
        <w:rPr>
          <w:rFonts w:ascii="Times New Roman" w:hAnsi="Times New Roman" w:cs="Times New Roman"/>
          <w:sz w:val="24"/>
          <w:szCs w:val="24"/>
        </w:rPr>
        <w:t>обоснован</w:t>
      </w:r>
      <w:r w:rsidR="0042437D">
        <w:rPr>
          <w:rFonts w:ascii="Times New Roman" w:hAnsi="Times New Roman" w:cs="Times New Roman"/>
          <w:sz w:val="24"/>
          <w:szCs w:val="24"/>
        </w:rPr>
        <w:t>ы</w:t>
      </w:r>
      <w:r w:rsidR="00076D81" w:rsidRPr="0042437D">
        <w:rPr>
          <w:rFonts w:ascii="Times New Roman" w:hAnsi="Times New Roman" w:cs="Times New Roman"/>
          <w:sz w:val="24"/>
          <w:szCs w:val="24"/>
        </w:rPr>
        <w:t xml:space="preserve"> отказ от </w:t>
      </w:r>
      <w:proofErr w:type="spellStart"/>
      <w:r w:rsidR="00076D81" w:rsidRPr="0042437D">
        <w:rPr>
          <w:rFonts w:ascii="Times New Roman" w:hAnsi="Times New Roman" w:cs="Times New Roman"/>
          <w:sz w:val="24"/>
          <w:szCs w:val="24"/>
        </w:rPr>
        <w:t>ПИФов</w:t>
      </w:r>
      <w:proofErr w:type="spellEnd"/>
      <w:r w:rsidR="00076D81" w:rsidRPr="0042437D">
        <w:rPr>
          <w:rFonts w:ascii="Times New Roman" w:hAnsi="Times New Roman" w:cs="Times New Roman"/>
          <w:sz w:val="24"/>
          <w:szCs w:val="24"/>
        </w:rPr>
        <w:t xml:space="preserve"> как инструмента вложений и исключение некогда популярной темы из научных исследований?</w:t>
      </w:r>
      <w:r w:rsidR="00AE3603" w:rsidRPr="004243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57429" w:rsidRDefault="00AE3603" w:rsidP="00940207">
      <w:pPr>
        <w:spacing w:line="240" w:lineRule="auto"/>
        <w:ind w:left="-567" w:right="283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437D">
        <w:rPr>
          <w:rFonts w:ascii="Times New Roman" w:hAnsi="Times New Roman" w:cs="Times New Roman"/>
          <w:sz w:val="24"/>
          <w:szCs w:val="24"/>
        </w:rPr>
        <w:t>Согласно ФЗ N156 от 29.11.2001 "Об инвестиционных фондах", паевой инвестиционный фонд – это обособленный имущественный комплекс, состоящий из имущества, переданного в доверительное управление управляющей компании учредителем (учредителями) доверительного управления с условием объединения этого имущества с имуществом иных учредителей доверительного управления, и из имущества, полученного в процессе такого управления, доля в праве собственности на которое удостоверяется ценной бумагой, выдаваемой управляющей компанией.</w:t>
      </w:r>
      <w:proofErr w:type="gramEnd"/>
      <w:r w:rsidR="00D27E4B" w:rsidRPr="00424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207">
        <w:rPr>
          <w:rFonts w:ascii="Times New Roman" w:hAnsi="Times New Roman" w:cs="Times New Roman"/>
          <w:sz w:val="24"/>
          <w:szCs w:val="24"/>
        </w:rPr>
        <w:t>ПИФы</w:t>
      </w:r>
      <w:proofErr w:type="spellEnd"/>
      <w:r w:rsidR="00940207">
        <w:rPr>
          <w:rFonts w:ascii="Times New Roman" w:hAnsi="Times New Roman" w:cs="Times New Roman"/>
          <w:sz w:val="24"/>
          <w:szCs w:val="24"/>
        </w:rPr>
        <w:t xml:space="preserve"> разделяются на три категории: </w:t>
      </w:r>
      <w:r w:rsidR="00940207" w:rsidRPr="004243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94020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крытые, закрытые и интервальные (Далее -  «ОПИФ», «ЗПИФ», «ИПИФ»).</w:t>
      </w:r>
    </w:p>
    <w:p w:rsidR="00FC4B74" w:rsidRPr="0042437D" w:rsidRDefault="00F77CAD" w:rsidP="00940207">
      <w:pPr>
        <w:spacing w:line="240" w:lineRule="auto"/>
        <w:ind w:left="-567" w:right="283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выявить роль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ПИФов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инвестиционных предпочтениях инвесторов, были проанализированы </w:t>
      </w:r>
      <w:r w:rsidR="00557429">
        <w:rPr>
          <w:rFonts w:ascii="Times New Roman" w:hAnsi="Times New Roman" w:cs="Times New Roman"/>
          <w:sz w:val="24"/>
          <w:szCs w:val="24"/>
        </w:rPr>
        <w:t xml:space="preserve">количество и средние доходности </w:t>
      </w:r>
      <w:proofErr w:type="spellStart"/>
      <w:r w:rsidR="00557429">
        <w:rPr>
          <w:rFonts w:ascii="Times New Roman" w:hAnsi="Times New Roman" w:cs="Times New Roman"/>
          <w:sz w:val="24"/>
          <w:szCs w:val="24"/>
        </w:rPr>
        <w:t>ПИФов</w:t>
      </w:r>
      <w:proofErr w:type="spellEnd"/>
      <w:r w:rsidR="00557429">
        <w:rPr>
          <w:rFonts w:ascii="Times New Roman" w:hAnsi="Times New Roman" w:cs="Times New Roman"/>
          <w:sz w:val="24"/>
          <w:szCs w:val="24"/>
        </w:rPr>
        <w:t xml:space="preserve"> по категориям</w:t>
      </w:r>
      <w:r w:rsidR="0055742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произведено сравнение доходностей с ключевым российским индексом ММВБ (</w:t>
      </w:r>
      <w:r w:rsidR="005574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MICEX</w:t>
      </w:r>
      <w:r w:rsidR="0055742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557429" w:rsidRPr="00424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742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получены следующие результаты.</w:t>
      </w:r>
    </w:p>
    <w:p w:rsidR="00AE6921" w:rsidRPr="001F6F46" w:rsidRDefault="006D18E3" w:rsidP="00940207">
      <w:pPr>
        <w:pStyle w:val="a9"/>
        <w:numPr>
          <w:ilvl w:val="0"/>
          <w:numId w:val="1"/>
        </w:numPr>
        <w:spacing w:before="240" w:line="240" w:lineRule="auto"/>
        <w:ind w:left="-567" w:right="28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F6F46">
        <w:rPr>
          <w:rFonts w:ascii="Times New Roman" w:hAnsi="Times New Roman" w:cs="Times New Roman"/>
          <w:sz w:val="24"/>
          <w:szCs w:val="24"/>
        </w:rPr>
        <w:t xml:space="preserve">Общее количество функционирующих фондов постоянно растет, начиная с момента их появления. В 2008 и 2014-15 годах рост прекращался в связи с финансовым кризисом и обрушением курса рубля, но затем возобновлялся. Увеличение количества фондов, начиная с 2008 года, обусловлено исключительно ростом числа закрытых </w:t>
      </w:r>
      <w:proofErr w:type="spellStart"/>
      <w:r w:rsidRPr="001F6F46">
        <w:rPr>
          <w:rFonts w:ascii="Times New Roman" w:hAnsi="Times New Roman" w:cs="Times New Roman"/>
          <w:sz w:val="24"/>
          <w:szCs w:val="24"/>
        </w:rPr>
        <w:t>ПИФов</w:t>
      </w:r>
      <w:proofErr w:type="spellEnd"/>
      <w:r w:rsidRPr="001F6F46">
        <w:rPr>
          <w:rFonts w:ascii="Times New Roman" w:hAnsi="Times New Roman" w:cs="Times New Roman"/>
          <w:sz w:val="24"/>
          <w:szCs w:val="24"/>
        </w:rPr>
        <w:t>.</w:t>
      </w:r>
      <w:r w:rsidR="00AE6921" w:rsidRPr="001F6F46">
        <w:rPr>
          <w:rFonts w:ascii="Times New Roman" w:hAnsi="Times New Roman" w:cs="Times New Roman"/>
          <w:sz w:val="24"/>
          <w:szCs w:val="24"/>
        </w:rPr>
        <w:t xml:space="preserve"> </w:t>
      </w:r>
      <w:r w:rsidR="001F6F46" w:rsidRPr="001F6F46">
        <w:rPr>
          <w:rFonts w:ascii="Times New Roman" w:hAnsi="Times New Roman" w:cs="Times New Roman"/>
          <w:sz w:val="24"/>
          <w:szCs w:val="24"/>
        </w:rPr>
        <w:t>Подробно это отражено на рис.1</w:t>
      </w:r>
      <w:r w:rsidR="001F6F46">
        <w:rPr>
          <w:rFonts w:ascii="Times New Roman" w:hAnsi="Times New Roman" w:cs="Times New Roman"/>
          <w:sz w:val="24"/>
          <w:szCs w:val="24"/>
        </w:rPr>
        <w:t xml:space="preserve"> </w:t>
      </w:r>
      <w:r w:rsidR="00AE6921" w:rsidRPr="001F6F46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spellStart"/>
      <w:r w:rsidR="00AE6921" w:rsidRPr="001F6F46">
        <w:rPr>
          <w:rFonts w:ascii="Times New Roman" w:hAnsi="Times New Roman" w:cs="Times New Roman"/>
          <w:sz w:val="24"/>
          <w:szCs w:val="24"/>
        </w:rPr>
        <w:t>ПИФов</w:t>
      </w:r>
      <w:proofErr w:type="spellEnd"/>
      <w:r w:rsidR="00AE6921" w:rsidRPr="001F6F46">
        <w:rPr>
          <w:rFonts w:ascii="Times New Roman" w:hAnsi="Times New Roman" w:cs="Times New Roman"/>
          <w:sz w:val="24"/>
          <w:szCs w:val="24"/>
        </w:rPr>
        <w:t xml:space="preserve"> отражает спрос со стороны инвесторов, так как если бы не было спроса, новые </w:t>
      </w:r>
      <w:r w:rsidR="00940207">
        <w:rPr>
          <w:rFonts w:ascii="Times New Roman" w:hAnsi="Times New Roman" w:cs="Times New Roman"/>
          <w:sz w:val="24"/>
          <w:szCs w:val="24"/>
        </w:rPr>
        <w:t>фонды</w:t>
      </w:r>
      <w:r w:rsidR="00AE6921" w:rsidRPr="001F6F46">
        <w:rPr>
          <w:rFonts w:ascii="Times New Roman" w:hAnsi="Times New Roman" w:cs="Times New Roman"/>
          <w:sz w:val="24"/>
          <w:szCs w:val="24"/>
        </w:rPr>
        <w:t xml:space="preserve"> бы не открывались. </w:t>
      </w:r>
    </w:p>
    <w:p w:rsidR="00557429" w:rsidRPr="0042437D" w:rsidRDefault="00557429" w:rsidP="00940207">
      <w:pPr>
        <w:pStyle w:val="a9"/>
        <w:spacing w:before="240" w:line="240" w:lineRule="auto"/>
        <w:ind w:left="-567" w:right="283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7A5E8F" w:rsidRPr="00940207" w:rsidRDefault="006D18E3" w:rsidP="00940207">
      <w:pPr>
        <w:pStyle w:val="a9"/>
        <w:numPr>
          <w:ilvl w:val="0"/>
          <w:numId w:val="1"/>
        </w:numPr>
        <w:spacing w:before="240" w:line="240" w:lineRule="auto"/>
        <w:ind w:left="-567" w:right="28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40207">
        <w:rPr>
          <w:rFonts w:ascii="Times New Roman" w:hAnsi="Times New Roman" w:cs="Times New Roman"/>
          <w:sz w:val="24"/>
          <w:szCs w:val="24"/>
        </w:rPr>
        <w:t xml:space="preserve">Среднегодовая доходность </w:t>
      </w:r>
      <w:proofErr w:type="spellStart"/>
      <w:r w:rsidRPr="00940207">
        <w:rPr>
          <w:rFonts w:ascii="Times New Roman" w:hAnsi="Times New Roman" w:cs="Times New Roman"/>
          <w:sz w:val="24"/>
          <w:szCs w:val="24"/>
        </w:rPr>
        <w:t>ПИФов</w:t>
      </w:r>
      <w:proofErr w:type="spellEnd"/>
      <w:r w:rsidRPr="00940207">
        <w:rPr>
          <w:rFonts w:ascii="Times New Roman" w:hAnsi="Times New Roman" w:cs="Times New Roman"/>
          <w:sz w:val="24"/>
          <w:szCs w:val="24"/>
        </w:rPr>
        <w:t xml:space="preserve"> значительно опережала доходность депозитов до 2008 года. Во время кризиса было зафиксировано значительное падение, во время которого инвесторы могли потерять инвестированные средства. Среднегодовая доходность </w:t>
      </w:r>
      <w:proofErr w:type="spellStart"/>
      <w:r w:rsidRPr="00940207">
        <w:rPr>
          <w:rFonts w:ascii="Times New Roman" w:hAnsi="Times New Roman" w:cs="Times New Roman"/>
          <w:sz w:val="24"/>
          <w:szCs w:val="24"/>
        </w:rPr>
        <w:t>ПИФов</w:t>
      </w:r>
      <w:proofErr w:type="spellEnd"/>
      <w:r w:rsidRPr="00940207">
        <w:rPr>
          <w:rFonts w:ascii="Times New Roman" w:hAnsi="Times New Roman" w:cs="Times New Roman"/>
          <w:sz w:val="24"/>
          <w:szCs w:val="24"/>
        </w:rPr>
        <w:t xml:space="preserve"> после кризиса не превышает доходность по </w:t>
      </w:r>
      <w:r w:rsidR="00EC2363">
        <w:rPr>
          <w:rFonts w:ascii="Times New Roman" w:hAnsi="Times New Roman" w:cs="Times New Roman"/>
          <w:sz w:val="24"/>
          <w:szCs w:val="24"/>
        </w:rPr>
        <w:t xml:space="preserve">банковским </w:t>
      </w:r>
      <w:r w:rsidRPr="00940207">
        <w:rPr>
          <w:rFonts w:ascii="Times New Roman" w:hAnsi="Times New Roman" w:cs="Times New Roman"/>
          <w:sz w:val="24"/>
          <w:szCs w:val="24"/>
        </w:rPr>
        <w:t>депозитам и в некоторых случаях</w:t>
      </w:r>
      <w:r w:rsidR="007A5E8F" w:rsidRPr="00940207">
        <w:rPr>
          <w:rFonts w:ascii="Times New Roman" w:hAnsi="Times New Roman" w:cs="Times New Roman"/>
          <w:sz w:val="24"/>
          <w:szCs w:val="24"/>
        </w:rPr>
        <w:t xml:space="preserve"> </w:t>
      </w:r>
      <w:r w:rsidRPr="00940207">
        <w:rPr>
          <w:rFonts w:ascii="Times New Roman" w:hAnsi="Times New Roman" w:cs="Times New Roman"/>
          <w:sz w:val="24"/>
          <w:szCs w:val="24"/>
        </w:rPr>
        <w:t>остается отрицательной, что снижает спрос на фонды.</w:t>
      </w:r>
      <w:r w:rsidR="00940207">
        <w:rPr>
          <w:rFonts w:ascii="Times New Roman" w:hAnsi="Times New Roman" w:cs="Times New Roman"/>
          <w:sz w:val="24"/>
          <w:szCs w:val="24"/>
        </w:rPr>
        <w:t xml:space="preserve"> График доходности помещен на рис.2. </w:t>
      </w:r>
      <w:r w:rsidR="00EC2363">
        <w:rPr>
          <w:rFonts w:ascii="Times New Roman" w:hAnsi="Times New Roman" w:cs="Times New Roman"/>
          <w:sz w:val="24"/>
          <w:szCs w:val="24"/>
        </w:rPr>
        <w:t>Таким образом, для инвесторов в</w:t>
      </w:r>
      <w:r w:rsidR="007A5E8F" w:rsidRPr="00940207">
        <w:rPr>
          <w:rFonts w:ascii="Times New Roman" w:hAnsi="Times New Roman" w:cs="Times New Roman"/>
          <w:sz w:val="24"/>
          <w:szCs w:val="24"/>
        </w:rPr>
        <w:t>ложения в депозиты являются более обоснованными, так как несут в себе меньше рисков при большей доходности.</w:t>
      </w:r>
    </w:p>
    <w:p w:rsidR="00AE6921" w:rsidRPr="0042437D" w:rsidRDefault="00AE6921" w:rsidP="00940207">
      <w:pPr>
        <w:pStyle w:val="a9"/>
        <w:spacing w:line="240" w:lineRule="auto"/>
        <w:ind w:left="-567" w:right="283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AE6921" w:rsidRPr="0042437D" w:rsidRDefault="00AE6921" w:rsidP="00940207">
      <w:pPr>
        <w:pStyle w:val="a9"/>
        <w:numPr>
          <w:ilvl w:val="0"/>
          <w:numId w:val="1"/>
        </w:numPr>
        <w:spacing w:line="240" w:lineRule="auto"/>
        <w:ind w:left="-567" w:right="28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2437D">
        <w:rPr>
          <w:rFonts w:ascii="Times New Roman" w:hAnsi="Times New Roman" w:cs="Times New Roman"/>
          <w:sz w:val="24"/>
          <w:szCs w:val="24"/>
        </w:rPr>
        <w:t xml:space="preserve">Альтернативой вложениям в </w:t>
      </w:r>
      <w:proofErr w:type="spellStart"/>
      <w:r w:rsidRPr="0042437D">
        <w:rPr>
          <w:rFonts w:ascii="Times New Roman" w:hAnsi="Times New Roman" w:cs="Times New Roman"/>
          <w:sz w:val="24"/>
          <w:szCs w:val="24"/>
        </w:rPr>
        <w:t>ПИФы</w:t>
      </w:r>
      <w:proofErr w:type="spellEnd"/>
      <w:r w:rsidRPr="0042437D">
        <w:rPr>
          <w:rFonts w:ascii="Times New Roman" w:hAnsi="Times New Roman" w:cs="Times New Roman"/>
          <w:sz w:val="24"/>
          <w:szCs w:val="24"/>
        </w:rPr>
        <w:t xml:space="preserve"> является самостоятельное инвестирование в ценные бумаги через брокера. При сравнении доходностей </w:t>
      </w:r>
      <w:proofErr w:type="spellStart"/>
      <w:r w:rsidRPr="0042437D">
        <w:rPr>
          <w:rFonts w:ascii="Times New Roman" w:hAnsi="Times New Roman" w:cs="Times New Roman"/>
          <w:sz w:val="24"/>
          <w:szCs w:val="24"/>
        </w:rPr>
        <w:t>ПИФов</w:t>
      </w:r>
      <w:proofErr w:type="spellEnd"/>
      <w:r w:rsidRPr="0042437D">
        <w:rPr>
          <w:rFonts w:ascii="Times New Roman" w:hAnsi="Times New Roman" w:cs="Times New Roman"/>
          <w:sz w:val="24"/>
          <w:szCs w:val="24"/>
        </w:rPr>
        <w:t xml:space="preserve"> и основного российского фондового индекса ММВБ (</w:t>
      </w:r>
      <w:r w:rsidRPr="0042437D">
        <w:rPr>
          <w:rFonts w:ascii="Times New Roman" w:hAnsi="Times New Roman" w:cs="Times New Roman"/>
          <w:sz w:val="24"/>
          <w:szCs w:val="24"/>
          <w:lang w:val="en-US"/>
        </w:rPr>
        <w:t>MICEX</w:t>
      </w:r>
      <w:r w:rsidRPr="0042437D">
        <w:rPr>
          <w:rFonts w:ascii="Times New Roman" w:hAnsi="Times New Roman" w:cs="Times New Roman"/>
          <w:sz w:val="24"/>
          <w:szCs w:val="24"/>
        </w:rPr>
        <w:t xml:space="preserve">) были использованы данные о среднемесячных доходностях, которые затем были преобразованы в среднеквартальные, так как </w:t>
      </w:r>
      <w:proofErr w:type="spellStart"/>
      <w:r w:rsidRPr="0042437D">
        <w:rPr>
          <w:rFonts w:ascii="Times New Roman" w:hAnsi="Times New Roman" w:cs="Times New Roman"/>
          <w:sz w:val="24"/>
          <w:szCs w:val="24"/>
        </w:rPr>
        <w:t>ЗПИФы</w:t>
      </w:r>
      <w:proofErr w:type="spellEnd"/>
      <w:r w:rsidRPr="0042437D">
        <w:rPr>
          <w:rFonts w:ascii="Times New Roman" w:hAnsi="Times New Roman" w:cs="Times New Roman"/>
          <w:sz w:val="24"/>
          <w:szCs w:val="24"/>
        </w:rPr>
        <w:t xml:space="preserve"> предоставляют данные не чаще чем раз в квартал.</w:t>
      </w:r>
      <w:r w:rsidR="00940207">
        <w:rPr>
          <w:rFonts w:ascii="Times New Roman" w:hAnsi="Times New Roman" w:cs="Times New Roman"/>
          <w:sz w:val="24"/>
          <w:szCs w:val="24"/>
        </w:rPr>
        <w:t xml:space="preserve"> Доходности </w:t>
      </w:r>
      <w:proofErr w:type="spellStart"/>
      <w:r w:rsidR="00EC2363">
        <w:rPr>
          <w:rFonts w:ascii="Times New Roman" w:hAnsi="Times New Roman" w:cs="Times New Roman"/>
          <w:sz w:val="24"/>
          <w:szCs w:val="24"/>
        </w:rPr>
        <w:t>ОПИФов</w:t>
      </w:r>
      <w:proofErr w:type="spellEnd"/>
      <w:r w:rsidR="00EC236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C2363">
        <w:rPr>
          <w:rFonts w:ascii="Times New Roman" w:hAnsi="Times New Roman" w:cs="Times New Roman"/>
          <w:sz w:val="24"/>
          <w:szCs w:val="24"/>
        </w:rPr>
        <w:t>ИПИФов</w:t>
      </w:r>
      <w:proofErr w:type="spellEnd"/>
      <w:r w:rsidR="00940207">
        <w:rPr>
          <w:rFonts w:ascii="Times New Roman" w:hAnsi="Times New Roman" w:cs="Times New Roman"/>
          <w:sz w:val="24"/>
          <w:szCs w:val="24"/>
        </w:rPr>
        <w:t xml:space="preserve"> отражен</w:t>
      </w:r>
      <w:r w:rsidR="00EC2363">
        <w:rPr>
          <w:rFonts w:ascii="Times New Roman" w:hAnsi="Times New Roman" w:cs="Times New Roman"/>
          <w:sz w:val="24"/>
          <w:szCs w:val="24"/>
        </w:rPr>
        <w:t>ы</w:t>
      </w:r>
      <w:r w:rsidR="00940207">
        <w:rPr>
          <w:rFonts w:ascii="Times New Roman" w:hAnsi="Times New Roman" w:cs="Times New Roman"/>
          <w:sz w:val="24"/>
          <w:szCs w:val="24"/>
        </w:rPr>
        <w:t xml:space="preserve"> на рис.3 и рис. 4.</w:t>
      </w:r>
    </w:p>
    <w:p w:rsidR="007A5E8F" w:rsidRPr="0042437D" w:rsidRDefault="007A5E8F" w:rsidP="00940207">
      <w:pPr>
        <w:spacing w:line="240" w:lineRule="auto"/>
        <w:ind w:left="-567" w:right="28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2437D">
        <w:rPr>
          <w:rFonts w:ascii="Times New Roman" w:hAnsi="Times New Roman" w:cs="Times New Roman"/>
          <w:sz w:val="24"/>
          <w:szCs w:val="24"/>
        </w:rPr>
        <w:t xml:space="preserve">Было выявлено, что доходность </w:t>
      </w:r>
      <w:proofErr w:type="spellStart"/>
      <w:r w:rsidR="00EC2363">
        <w:rPr>
          <w:rFonts w:ascii="Times New Roman" w:hAnsi="Times New Roman" w:cs="Times New Roman"/>
          <w:sz w:val="24"/>
          <w:szCs w:val="24"/>
        </w:rPr>
        <w:t>ОПИФов</w:t>
      </w:r>
      <w:proofErr w:type="spellEnd"/>
      <w:r w:rsidR="00EC236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C2363">
        <w:rPr>
          <w:rFonts w:ascii="Times New Roman" w:hAnsi="Times New Roman" w:cs="Times New Roman"/>
          <w:sz w:val="24"/>
          <w:szCs w:val="24"/>
        </w:rPr>
        <w:t>ИПИФов</w:t>
      </w:r>
      <w:proofErr w:type="spellEnd"/>
      <w:r w:rsidR="00EC2363">
        <w:rPr>
          <w:rFonts w:ascii="Times New Roman" w:hAnsi="Times New Roman" w:cs="Times New Roman"/>
          <w:sz w:val="24"/>
          <w:szCs w:val="24"/>
        </w:rPr>
        <w:t xml:space="preserve"> </w:t>
      </w:r>
      <w:r w:rsidRPr="0042437D">
        <w:rPr>
          <w:rFonts w:ascii="Times New Roman" w:hAnsi="Times New Roman" w:cs="Times New Roman"/>
          <w:sz w:val="24"/>
          <w:szCs w:val="24"/>
        </w:rPr>
        <w:t xml:space="preserve">практически полностью соответствует динамике индекса ММВБ (корреляция </w:t>
      </w:r>
      <w:r w:rsidR="00EC2363">
        <w:rPr>
          <w:rFonts w:ascii="Times New Roman" w:hAnsi="Times New Roman" w:cs="Times New Roman"/>
          <w:sz w:val="24"/>
          <w:szCs w:val="24"/>
        </w:rPr>
        <w:t xml:space="preserve">с индексом </w:t>
      </w:r>
      <w:r w:rsidRPr="0042437D">
        <w:rPr>
          <w:rFonts w:ascii="Times New Roman" w:hAnsi="Times New Roman" w:cs="Times New Roman"/>
          <w:sz w:val="24"/>
          <w:szCs w:val="24"/>
        </w:rPr>
        <w:t>составила 0,92 и  0,91</w:t>
      </w:r>
      <w:r w:rsidR="00EC2363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Pr="0042437D">
        <w:rPr>
          <w:rFonts w:ascii="Times New Roman" w:hAnsi="Times New Roman" w:cs="Times New Roman"/>
          <w:sz w:val="24"/>
          <w:szCs w:val="24"/>
        </w:rPr>
        <w:t>). При доходности эквивалентной среднерыночной вложени</w:t>
      </w:r>
      <w:r w:rsidR="00D27E4B" w:rsidRPr="0042437D">
        <w:rPr>
          <w:rFonts w:ascii="Times New Roman" w:hAnsi="Times New Roman" w:cs="Times New Roman"/>
          <w:sz w:val="24"/>
          <w:szCs w:val="24"/>
        </w:rPr>
        <w:t>я</w:t>
      </w:r>
      <w:r w:rsidRPr="0042437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2437D">
        <w:rPr>
          <w:rFonts w:ascii="Times New Roman" w:hAnsi="Times New Roman" w:cs="Times New Roman"/>
          <w:sz w:val="24"/>
          <w:szCs w:val="24"/>
        </w:rPr>
        <w:t>ПИФы</w:t>
      </w:r>
      <w:proofErr w:type="spellEnd"/>
      <w:r w:rsidRPr="0042437D">
        <w:rPr>
          <w:rFonts w:ascii="Times New Roman" w:hAnsi="Times New Roman" w:cs="Times New Roman"/>
          <w:sz w:val="24"/>
          <w:szCs w:val="24"/>
        </w:rPr>
        <w:t xml:space="preserve"> имеют преимущество перед сам</w:t>
      </w:r>
      <w:r w:rsidR="00EC2363">
        <w:rPr>
          <w:rFonts w:ascii="Times New Roman" w:hAnsi="Times New Roman" w:cs="Times New Roman"/>
          <w:sz w:val="24"/>
          <w:szCs w:val="24"/>
        </w:rPr>
        <w:t xml:space="preserve">остоятельным инвестированием в </w:t>
      </w:r>
      <w:r w:rsidRPr="0042437D">
        <w:rPr>
          <w:rFonts w:ascii="Times New Roman" w:hAnsi="Times New Roman" w:cs="Times New Roman"/>
          <w:sz w:val="24"/>
          <w:szCs w:val="24"/>
        </w:rPr>
        <w:t>фондовый рынок, так как снижают риски инвестора за счет диверсификации вложений.</w:t>
      </w:r>
    </w:p>
    <w:p w:rsidR="007A5E8F" w:rsidRPr="00EC2363" w:rsidRDefault="007A5E8F" w:rsidP="00940207">
      <w:pPr>
        <w:pStyle w:val="a9"/>
        <w:numPr>
          <w:ilvl w:val="0"/>
          <w:numId w:val="1"/>
        </w:numPr>
        <w:spacing w:line="240" w:lineRule="auto"/>
        <w:ind w:left="-567" w:right="28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C2363">
        <w:rPr>
          <w:rFonts w:ascii="Times New Roman" w:hAnsi="Times New Roman" w:cs="Times New Roman"/>
          <w:sz w:val="24"/>
          <w:szCs w:val="24"/>
        </w:rPr>
        <w:lastRenderedPageBreak/>
        <w:t xml:space="preserve">Закрытые фонды значительно отличаются по своим результатам от индекса. Разрывы на графике </w:t>
      </w:r>
      <w:r w:rsidR="00940207" w:rsidRPr="00EC2363">
        <w:rPr>
          <w:rFonts w:ascii="Times New Roman" w:hAnsi="Times New Roman" w:cs="Times New Roman"/>
          <w:sz w:val="24"/>
          <w:szCs w:val="24"/>
        </w:rPr>
        <w:t xml:space="preserve">(рис.5) </w:t>
      </w:r>
      <w:r w:rsidRPr="00EC2363">
        <w:rPr>
          <w:rFonts w:ascii="Times New Roman" w:hAnsi="Times New Roman" w:cs="Times New Roman"/>
          <w:sz w:val="24"/>
          <w:szCs w:val="24"/>
        </w:rPr>
        <w:t xml:space="preserve">обоснованы периодами, когда </w:t>
      </w:r>
      <w:proofErr w:type="spellStart"/>
      <w:r w:rsidRPr="00EC2363">
        <w:rPr>
          <w:rFonts w:ascii="Times New Roman" w:hAnsi="Times New Roman" w:cs="Times New Roman"/>
          <w:sz w:val="24"/>
          <w:szCs w:val="24"/>
        </w:rPr>
        <w:t>ЗПИФы</w:t>
      </w:r>
      <w:proofErr w:type="spellEnd"/>
      <w:r w:rsidRPr="00EC2363">
        <w:rPr>
          <w:rFonts w:ascii="Times New Roman" w:hAnsi="Times New Roman" w:cs="Times New Roman"/>
          <w:sz w:val="24"/>
          <w:szCs w:val="24"/>
        </w:rPr>
        <w:t xml:space="preserve"> не сдавали отчетность.</w:t>
      </w:r>
      <w:r w:rsidR="00EC2363">
        <w:rPr>
          <w:rFonts w:ascii="Times New Roman" w:hAnsi="Times New Roman" w:cs="Times New Roman"/>
          <w:sz w:val="24"/>
          <w:szCs w:val="24"/>
        </w:rPr>
        <w:t xml:space="preserve"> </w:t>
      </w:r>
      <w:r w:rsidRPr="00EC2363">
        <w:rPr>
          <w:rFonts w:ascii="Times New Roman" w:hAnsi="Times New Roman" w:cs="Times New Roman"/>
          <w:sz w:val="24"/>
          <w:szCs w:val="24"/>
        </w:rPr>
        <w:t>Корреляция с рынком составила -0,1</w:t>
      </w:r>
      <w:r w:rsidR="00EC2363">
        <w:rPr>
          <w:rFonts w:ascii="Times New Roman" w:hAnsi="Times New Roman" w:cs="Times New Roman"/>
          <w:sz w:val="24"/>
          <w:szCs w:val="24"/>
        </w:rPr>
        <w:t>2</w:t>
      </w:r>
      <w:r w:rsidRPr="00EC2363">
        <w:rPr>
          <w:rFonts w:ascii="Times New Roman" w:eastAsiaTheme="minorEastAsia" w:hAnsi="Times New Roman" w:cs="Times New Roman"/>
          <w:sz w:val="24"/>
          <w:szCs w:val="24"/>
        </w:rPr>
        <w:t xml:space="preserve">. Отрицательная корреляция означает, что при увеличении одной переменной, другая должна уменьшаться. То есть при росте индекса ММВБ доходность ЗПИФов будет падать. </w:t>
      </w:r>
      <w:r w:rsidR="00D27E4B" w:rsidRPr="00EC2363">
        <w:rPr>
          <w:rFonts w:ascii="Times New Roman" w:eastAsiaTheme="minorEastAsia" w:hAnsi="Times New Roman" w:cs="Times New Roman"/>
          <w:sz w:val="24"/>
          <w:szCs w:val="24"/>
        </w:rPr>
        <w:t>Это говорит о том</w:t>
      </w:r>
      <w:r w:rsidRPr="00EC2363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D27E4B" w:rsidRPr="00EC2363">
        <w:rPr>
          <w:rFonts w:ascii="Times New Roman" w:eastAsiaTheme="minorEastAsia" w:hAnsi="Times New Roman" w:cs="Times New Roman"/>
          <w:sz w:val="24"/>
          <w:szCs w:val="24"/>
        </w:rPr>
        <w:t xml:space="preserve"> что</w:t>
      </w:r>
      <w:r w:rsidRPr="00EC2363">
        <w:rPr>
          <w:rFonts w:ascii="Times New Roman" w:eastAsiaTheme="minorEastAsia" w:hAnsi="Times New Roman" w:cs="Times New Roman"/>
          <w:sz w:val="24"/>
          <w:szCs w:val="24"/>
        </w:rPr>
        <w:t xml:space="preserve"> ЗПИФ могут быть </w:t>
      </w:r>
      <w:proofErr w:type="gramStart"/>
      <w:r w:rsidRPr="00EC2363">
        <w:rPr>
          <w:rFonts w:ascii="Times New Roman" w:eastAsiaTheme="minorEastAsia" w:hAnsi="Times New Roman" w:cs="Times New Roman"/>
          <w:sz w:val="24"/>
          <w:szCs w:val="24"/>
        </w:rPr>
        <w:t>использованы</w:t>
      </w:r>
      <w:proofErr w:type="gramEnd"/>
      <w:r w:rsidRPr="00EC2363">
        <w:rPr>
          <w:rFonts w:ascii="Times New Roman" w:eastAsiaTheme="minorEastAsia" w:hAnsi="Times New Roman" w:cs="Times New Roman"/>
          <w:sz w:val="24"/>
          <w:szCs w:val="24"/>
        </w:rPr>
        <w:t xml:space="preserve"> инвесторами для хеджирования рисков и в качестве защитных активов во время кризиса. </w:t>
      </w:r>
      <w:r w:rsidRPr="00EC2363">
        <w:rPr>
          <w:rFonts w:ascii="Times New Roman" w:hAnsi="Times New Roman" w:cs="Times New Roman"/>
          <w:sz w:val="24"/>
          <w:szCs w:val="24"/>
        </w:rPr>
        <w:t>Данные по годовой средней доходности, проанализированные в другом исследовании автора</w:t>
      </w:r>
      <w:r w:rsidR="001F6F46" w:rsidRPr="00EC2363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1F6F46" w:rsidRPr="00EC2363">
        <w:rPr>
          <w:rFonts w:ascii="Times New Roman" w:hAnsi="Times New Roman" w:cs="Times New Roman"/>
          <w:sz w:val="24"/>
          <w:szCs w:val="24"/>
          <w:lang w:val="en-US"/>
        </w:rPr>
        <w:t>Martanus</w:t>
      </w:r>
      <w:proofErr w:type="spellEnd"/>
      <w:r w:rsidR="001F6F46" w:rsidRPr="00EC23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6F46" w:rsidRPr="00EC2363">
        <w:rPr>
          <w:rFonts w:ascii="Times New Roman" w:hAnsi="Times New Roman" w:cs="Times New Roman"/>
          <w:sz w:val="24"/>
          <w:szCs w:val="24"/>
          <w:lang w:val="en-US"/>
        </w:rPr>
        <w:t>Merekina</w:t>
      </w:r>
      <w:proofErr w:type="spellEnd"/>
      <w:r w:rsidR="001F6F46" w:rsidRPr="00EC2363">
        <w:rPr>
          <w:rFonts w:ascii="Times New Roman" w:hAnsi="Times New Roman" w:cs="Times New Roman"/>
          <w:sz w:val="24"/>
          <w:szCs w:val="24"/>
        </w:rPr>
        <w:t>, 2015]</w:t>
      </w:r>
      <w:r w:rsidRPr="00EC2363">
        <w:rPr>
          <w:rFonts w:ascii="Times New Roman" w:hAnsi="Times New Roman" w:cs="Times New Roman"/>
          <w:sz w:val="24"/>
          <w:szCs w:val="24"/>
        </w:rPr>
        <w:t xml:space="preserve">, демонстрируют аналогичные результаты. </w:t>
      </w:r>
    </w:p>
    <w:p w:rsidR="00D27E4B" w:rsidRDefault="00D27E4B" w:rsidP="00940207">
      <w:pPr>
        <w:pStyle w:val="a9"/>
        <w:spacing w:line="240" w:lineRule="auto"/>
        <w:ind w:left="-567" w:right="28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2437D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proofErr w:type="spellStart"/>
      <w:r w:rsidRPr="0042437D">
        <w:rPr>
          <w:rFonts w:ascii="Times New Roman" w:hAnsi="Times New Roman" w:cs="Times New Roman"/>
          <w:sz w:val="24"/>
          <w:szCs w:val="24"/>
        </w:rPr>
        <w:t>ПИФы</w:t>
      </w:r>
      <w:proofErr w:type="spellEnd"/>
      <w:r w:rsidRPr="0042437D">
        <w:rPr>
          <w:rFonts w:ascii="Times New Roman" w:hAnsi="Times New Roman" w:cs="Times New Roman"/>
          <w:sz w:val="24"/>
          <w:szCs w:val="24"/>
        </w:rPr>
        <w:t xml:space="preserve"> все еще играют важную роль в жизни российских инвесторов. Количество фондов растет, а значит и спрос на них. </w:t>
      </w:r>
      <w:r w:rsidR="0042437D" w:rsidRPr="0042437D">
        <w:rPr>
          <w:rFonts w:ascii="Times New Roman" w:hAnsi="Times New Roman" w:cs="Times New Roman"/>
          <w:sz w:val="24"/>
          <w:szCs w:val="24"/>
        </w:rPr>
        <w:t xml:space="preserve">Хоть </w:t>
      </w:r>
      <w:proofErr w:type="spellStart"/>
      <w:r w:rsidR="0042437D" w:rsidRPr="0042437D">
        <w:rPr>
          <w:rFonts w:ascii="Times New Roman" w:hAnsi="Times New Roman" w:cs="Times New Roman"/>
          <w:sz w:val="24"/>
          <w:szCs w:val="24"/>
        </w:rPr>
        <w:t>ПИФы</w:t>
      </w:r>
      <w:proofErr w:type="spellEnd"/>
      <w:r w:rsidR="0042437D" w:rsidRPr="0042437D">
        <w:rPr>
          <w:rFonts w:ascii="Times New Roman" w:hAnsi="Times New Roman" w:cs="Times New Roman"/>
          <w:sz w:val="24"/>
          <w:szCs w:val="24"/>
        </w:rPr>
        <w:t xml:space="preserve"> больше не могут обеспечить доходность выше банковских депозитов в долгосрочной перспективе, они могут быть использованы для краткосрочных вложений. </w:t>
      </w:r>
      <w:proofErr w:type="spellStart"/>
      <w:proofErr w:type="gramStart"/>
      <w:r w:rsidR="0042437D" w:rsidRPr="0042437D">
        <w:rPr>
          <w:rFonts w:ascii="Times New Roman" w:hAnsi="Times New Roman" w:cs="Times New Roman"/>
          <w:sz w:val="24"/>
          <w:szCs w:val="24"/>
        </w:rPr>
        <w:t>ЗПИФы</w:t>
      </w:r>
      <w:proofErr w:type="spellEnd"/>
      <w:r w:rsidR="0042437D" w:rsidRPr="0042437D">
        <w:rPr>
          <w:rFonts w:ascii="Times New Roman" w:hAnsi="Times New Roman" w:cs="Times New Roman"/>
          <w:sz w:val="24"/>
          <w:szCs w:val="24"/>
        </w:rPr>
        <w:t xml:space="preserve"> </w:t>
      </w:r>
      <w:r w:rsidR="0042437D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42437D" w:rsidRPr="0042437D">
        <w:rPr>
          <w:rFonts w:ascii="Times New Roman" w:hAnsi="Times New Roman" w:cs="Times New Roman"/>
          <w:sz w:val="24"/>
          <w:szCs w:val="24"/>
        </w:rPr>
        <w:t>могут быть использованы для защиты от рыночных колебаний во время кризисов.</w:t>
      </w:r>
      <w:proofErr w:type="gramEnd"/>
    </w:p>
    <w:p w:rsidR="00557429" w:rsidRDefault="00557429" w:rsidP="00940207">
      <w:pPr>
        <w:pStyle w:val="a9"/>
        <w:spacing w:line="240" w:lineRule="auto"/>
        <w:ind w:left="-567" w:right="283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557429" w:rsidRDefault="00557429" w:rsidP="00940207">
      <w:pPr>
        <w:pStyle w:val="a9"/>
        <w:spacing w:line="240" w:lineRule="auto"/>
        <w:ind w:left="-567" w:right="283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 литературы:</w:t>
      </w:r>
    </w:p>
    <w:p w:rsidR="00557429" w:rsidRPr="001F6F46" w:rsidRDefault="00557429" w:rsidP="00940207">
      <w:pPr>
        <w:pStyle w:val="a9"/>
        <w:numPr>
          <w:ilvl w:val="0"/>
          <w:numId w:val="2"/>
        </w:numPr>
        <w:spacing w:line="240" w:lineRule="auto"/>
        <w:ind w:left="-567" w:right="28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57429">
        <w:rPr>
          <w:rFonts w:ascii="Times New Roman" w:hAnsi="Times New Roman" w:cs="Times New Roman"/>
          <w:sz w:val="24"/>
          <w:szCs w:val="24"/>
        </w:rPr>
        <w:t>Федеральный закон № 156 «Об инвестиционных фондах» от 29.11.2001</w:t>
      </w:r>
    </w:p>
    <w:p w:rsidR="001F6F46" w:rsidRPr="001F6F46" w:rsidRDefault="001F6F46" w:rsidP="00940207">
      <w:pPr>
        <w:pStyle w:val="a9"/>
        <w:numPr>
          <w:ilvl w:val="0"/>
          <w:numId w:val="2"/>
        </w:numPr>
        <w:spacing w:line="240" w:lineRule="auto"/>
        <w:ind w:left="-567" w:right="283" w:firstLine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429">
        <w:rPr>
          <w:rFonts w:ascii="Times New Roman" w:hAnsi="Times New Roman" w:cs="Times New Roman"/>
          <w:sz w:val="24"/>
          <w:szCs w:val="24"/>
          <w:lang w:val="en-US"/>
        </w:rPr>
        <w:t xml:space="preserve">Dr. </w:t>
      </w:r>
      <w:proofErr w:type="spellStart"/>
      <w:r w:rsidRPr="00557429">
        <w:rPr>
          <w:rFonts w:ascii="Times New Roman" w:hAnsi="Times New Roman" w:cs="Times New Roman"/>
          <w:sz w:val="24"/>
          <w:szCs w:val="24"/>
          <w:lang w:val="en-US"/>
        </w:rPr>
        <w:t>Oxana</w:t>
      </w:r>
      <w:proofErr w:type="spellEnd"/>
      <w:r w:rsidRPr="005574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7429">
        <w:rPr>
          <w:rFonts w:ascii="Times New Roman" w:hAnsi="Times New Roman" w:cs="Times New Roman"/>
          <w:sz w:val="24"/>
          <w:szCs w:val="24"/>
          <w:lang w:val="en-US"/>
        </w:rPr>
        <w:t>Martanus</w:t>
      </w:r>
      <w:proofErr w:type="spellEnd"/>
      <w:r w:rsidRPr="00557429">
        <w:rPr>
          <w:rFonts w:ascii="Times New Roman" w:hAnsi="Times New Roman" w:cs="Times New Roman"/>
          <w:sz w:val="24"/>
          <w:szCs w:val="24"/>
          <w:lang w:val="en-US"/>
        </w:rPr>
        <w:t xml:space="preserve">, Elena </w:t>
      </w:r>
      <w:proofErr w:type="spellStart"/>
      <w:r w:rsidRPr="00557429">
        <w:rPr>
          <w:rFonts w:ascii="Times New Roman" w:hAnsi="Times New Roman" w:cs="Times New Roman"/>
          <w:sz w:val="24"/>
          <w:szCs w:val="24"/>
          <w:lang w:val="en-US"/>
        </w:rPr>
        <w:t>Merekina</w:t>
      </w:r>
      <w:proofErr w:type="spellEnd"/>
      <w:r w:rsidRPr="00557429">
        <w:rPr>
          <w:rFonts w:ascii="Times New Roman" w:hAnsi="Times New Roman" w:cs="Times New Roman"/>
          <w:sz w:val="24"/>
          <w:szCs w:val="24"/>
          <w:lang w:val="en-US"/>
        </w:rPr>
        <w:t>. Alternative Investment Funds under new financial and legislative reality, 2015</w:t>
      </w:r>
    </w:p>
    <w:p w:rsidR="00557429" w:rsidRPr="001F6F46" w:rsidRDefault="00382FD4" w:rsidP="00940207">
      <w:pPr>
        <w:pStyle w:val="a9"/>
        <w:numPr>
          <w:ilvl w:val="0"/>
          <w:numId w:val="2"/>
        </w:numPr>
        <w:spacing w:line="240" w:lineRule="auto"/>
        <w:ind w:left="-567" w:right="283" w:firstLine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8" w:history="1">
        <w:r w:rsidR="00557429" w:rsidRPr="001F6F46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http://pif.investfunds.ru/analitics/amount/</w:t>
        </w:r>
      </w:hyperlink>
    </w:p>
    <w:p w:rsidR="00557429" w:rsidRPr="00051D6F" w:rsidRDefault="00382FD4" w:rsidP="00940207">
      <w:pPr>
        <w:pStyle w:val="a9"/>
        <w:numPr>
          <w:ilvl w:val="0"/>
          <w:numId w:val="2"/>
        </w:numPr>
        <w:spacing w:line="240" w:lineRule="auto"/>
        <w:ind w:left="-567" w:right="283" w:firstLine="283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  <w:hyperlink r:id="rId9" w:history="1">
        <w:r w:rsidR="00557429" w:rsidRPr="00051D6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http://pif.investfunds.ru/funds/rate.phtml</w:t>
        </w:r>
      </w:hyperlink>
    </w:p>
    <w:p w:rsidR="001F6F46" w:rsidRDefault="001F6F46" w:rsidP="00940207">
      <w:pPr>
        <w:spacing w:line="240" w:lineRule="auto"/>
        <w:ind w:left="-567" w:right="283" w:firstLine="283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Изображения:</w:t>
      </w:r>
    </w:p>
    <w:p w:rsidR="001F6F46" w:rsidRDefault="001F6F46" w:rsidP="00940207">
      <w:pPr>
        <w:pStyle w:val="a9"/>
        <w:spacing w:line="240" w:lineRule="auto"/>
        <w:ind w:left="-567" w:right="283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1F6F46" w:rsidRPr="00051D6F" w:rsidRDefault="001F6F46" w:rsidP="00940207">
      <w:pPr>
        <w:pStyle w:val="a9"/>
        <w:spacing w:line="240" w:lineRule="auto"/>
        <w:ind w:left="-567" w:right="283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1. Количество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ПИФов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категориям</w:t>
      </w:r>
    </w:p>
    <w:p w:rsidR="00051D6F" w:rsidRPr="00051D6F" w:rsidRDefault="00051D6F" w:rsidP="00940207">
      <w:pPr>
        <w:pStyle w:val="a9"/>
        <w:spacing w:line="240" w:lineRule="auto"/>
        <w:ind w:left="-567" w:right="283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1F6F46" w:rsidRPr="0042437D" w:rsidRDefault="00940207" w:rsidP="00940207">
      <w:pPr>
        <w:pStyle w:val="a9"/>
        <w:spacing w:line="240" w:lineRule="auto"/>
        <w:ind w:left="-567" w:right="283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476C40" wp14:editId="6D10A7B1">
            <wp:extent cx="5940425" cy="3820160"/>
            <wp:effectExtent l="0" t="0" r="3175" b="889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личество фондов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2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F46" w:rsidRPr="00557429" w:rsidRDefault="001F6F46" w:rsidP="00940207">
      <w:pPr>
        <w:pStyle w:val="a9"/>
        <w:spacing w:line="240" w:lineRule="auto"/>
        <w:ind w:left="-567" w:right="283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Источник:</w:t>
      </w:r>
      <w:r w:rsidRPr="00557429">
        <w:rPr>
          <w:rFonts w:ascii="Times New Roman" w:hAnsi="Times New Roman" w:cs="Times New Roman"/>
          <w:sz w:val="24"/>
          <w:szCs w:val="24"/>
        </w:rPr>
        <w:t xml:space="preserve"> http://pif.investfunds.ru/analitics/amount/</w:t>
      </w:r>
    </w:p>
    <w:p w:rsidR="001F6F46" w:rsidRDefault="001F6F46" w:rsidP="00940207">
      <w:pPr>
        <w:pStyle w:val="a9"/>
        <w:spacing w:line="240" w:lineRule="auto"/>
        <w:ind w:left="-567" w:right="28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57429">
        <w:rPr>
          <w:rFonts w:ascii="Times New Roman" w:hAnsi="Times New Roman" w:cs="Times New Roman"/>
          <w:sz w:val="24"/>
          <w:szCs w:val="24"/>
        </w:rPr>
        <w:t>Расчеты: автор</w:t>
      </w:r>
    </w:p>
    <w:p w:rsidR="00940207" w:rsidRDefault="00940207" w:rsidP="00940207">
      <w:pPr>
        <w:pStyle w:val="a9"/>
        <w:spacing w:line="240" w:lineRule="auto"/>
        <w:ind w:left="-567" w:right="283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EC2363" w:rsidRDefault="00EC2363" w:rsidP="00940207">
      <w:pPr>
        <w:pStyle w:val="a9"/>
        <w:spacing w:line="240" w:lineRule="auto"/>
        <w:ind w:left="-567" w:right="283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EC2363" w:rsidRDefault="00EC2363" w:rsidP="00940207">
      <w:pPr>
        <w:pStyle w:val="a9"/>
        <w:spacing w:line="240" w:lineRule="auto"/>
        <w:ind w:left="-567" w:right="283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EC2363" w:rsidRDefault="00EC2363" w:rsidP="00940207">
      <w:pPr>
        <w:pStyle w:val="a9"/>
        <w:spacing w:line="240" w:lineRule="auto"/>
        <w:ind w:left="-567" w:right="283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051D6F" w:rsidRPr="00051D6F" w:rsidRDefault="00940207" w:rsidP="00940207">
      <w:pPr>
        <w:pStyle w:val="a9"/>
        <w:spacing w:line="240" w:lineRule="auto"/>
        <w:ind w:left="-567" w:right="283" w:firstLine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2. Среднегодовая доходность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ПИФов</w:t>
      </w:r>
      <w:proofErr w:type="spellEnd"/>
    </w:p>
    <w:p w:rsidR="00940207" w:rsidRPr="0042437D" w:rsidRDefault="00940207" w:rsidP="00940207">
      <w:pPr>
        <w:pStyle w:val="a9"/>
        <w:spacing w:line="240" w:lineRule="auto"/>
        <w:ind w:left="-567" w:right="283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FE2657" wp14:editId="5B11A6F4">
            <wp:extent cx="5940425" cy="3853815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реднегодовая доходность фондов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5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207" w:rsidRPr="00557429" w:rsidRDefault="00940207" w:rsidP="00940207">
      <w:pPr>
        <w:pStyle w:val="a9"/>
        <w:spacing w:line="240" w:lineRule="auto"/>
        <w:ind w:left="-567" w:right="28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57429">
        <w:rPr>
          <w:rFonts w:ascii="Times New Roman" w:hAnsi="Times New Roman" w:cs="Times New Roman"/>
          <w:sz w:val="24"/>
          <w:szCs w:val="24"/>
        </w:rPr>
        <w:t>Источник: http://pif.investfunds.ru/funds/rate.phtml</w:t>
      </w:r>
    </w:p>
    <w:p w:rsidR="00940207" w:rsidRDefault="00940207" w:rsidP="00940207">
      <w:pPr>
        <w:pStyle w:val="a9"/>
        <w:spacing w:line="240" w:lineRule="auto"/>
        <w:ind w:left="-567" w:right="28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57429">
        <w:rPr>
          <w:rFonts w:ascii="Times New Roman" w:hAnsi="Times New Roman" w:cs="Times New Roman"/>
          <w:sz w:val="24"/>
          <w:szCs w:val="24"/>
        </w:rPr>
        <w:t>Расчеты: автор</w:t>
      </w:r>
    </w:p>
    <w:p w:rsidR="00940207" w:rsidRPr="00051D6F" w:rsidRDefault="00940207" w:rsidP="00940207">
      <w:pPr>
        <w:spacing w:line="240" w:lineRule="auto"/>
        <w:ind w:left="-567" w:right="283" w:firstLine="283"/>
        <w:jc w:val="both"/>
        <w:rPr>
          <w:rStyle w:val="a6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</w:pPr>
      <w:r w:rsidRPr="00557429">
        <w:rPr>
          <w:rFonts w:ascii="Times New Roman" w:hAnsi="Times New Roman" w:cs="Times New Roman"/>
          <w:sz w:val="24"/>
          <w:szCs w:val="24"/>
        </w:rPr>
        <w:t>Рис. 3. Сравнение доходности открытых фондов и индекса ММВБ</w:t>
      </w:r>
    </w:p>
    <w:p w:rsidR="00940207" w:rsidRPr="0042437D" w:rsidRDefault="00940207" w:rsidP="00940207">
      <w:pPr>
        <w:spacing w:line="240" w:lineRule="auto"/>
        <w:ind w:left="-567" w:right="283" w:firstLine="283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3EC631" wp14:editId="364620B1">
            <wp:extent cx="5940425" cy="3792855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ходность открытых ПИФ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9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40207" w:rsidRDefault="00940207" w:rsidP="00EC2363">
      <w:pPr>
        <w:spacing w:after="0" w:line="240" w:lineRule="auto"/>
        <w:ind w:left="-567" w:right="28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2437D">
        <w:rPr>
          <w:rFonts w:ascii="Times New Roman" w:hAnsi="Times New Roman" w:cs="Times New Roman"/>
          <w:sz w:val="24"/>
          <w:szCs w:val="24"/>
        </w:rPr>
        <w:t xml:space="preserve">Источник: </w:t>
      </w:r>
      <w:hyperlink r:id="rId13" w:history="1">
        <w:r w:rsidRPr="0042437D">
          <w:rPr>
            <w:rStyle w:val="a6"/>
            <w:rFonts w:ascii="Times New Roman" w:hAnsi="Times New Roman" w:cs="Times New Roman"/>
            <w:sz w:val="24"/>
            <w:szCs w:val="24"/>
          </w:rPr>
          <w:t>http://pif.investfunds.ru/funds/rate.phtml</w:t>
        </w:r>
      </w:hyperlink>
      <w:r w:rsidR="00EC2363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42437D">
        <w:rPr>
          <w:rFonts w:ascii="Times New Roman" w:hAnsi="Times New Roman" w:cs="Times New Roman"/>
          <w:sz w:val="24"/>
          <w:szCs w:val="24"/>
        </w:rPr>
        <w:t>Расчеты: автор</w:t>
      </w:r>
    </w:p>
    <w:p w:rsidR="00940207" w:rsidRPr="00557429" w:rsidRDefault="00940207" w:rsidP="00940207">
      <w:pPr>
        <w:spacing w:line="240" w:lineRule="auto"/>
        <w:ind w:left="-567" w:right="283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429">
        <w:rPr>
          <w:rFonts w:ascii="Times New Roman" w:hAnsi="Times New Roman" w:cs="Times New Roman"/>
          <w:sz w:val="24"/>
          <w:szCs w:val="24"/>
        </w:rPr>
        <w:lastRenderedPageBreak/>
        <w:t>Рис. 4. Сравнение доходности интервальных фондов и индекса ММВБ</w:t>
      </w:r>
    </w:p>
    <w:p w:rsidR="00940207" w:rsidRPr="0042437D" w:rsidRDefault="00940207" w:rsidP="00940207">
      <w:pPr>
        <w:spacing w:line="240" w:lineRule="auto"/>
        <w:ind w:left="-567" w:right="283" w:firstLine="283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60E671" wp14:editId="0F75431D">
            <wp:extent cx="5940425" cy="3865245"/>
            <wp:effectExtent l="0" t="0" r="3175" b="190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ходность интервальных ПИФ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6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207" w:rsidRPr="0042437D" w:rsidRDefault="00940207" w:rsidP="00940207">
      <w:pPr>
        <w:spacing w:after="0" w:line="240" w:lineRule="auto"/>
        <w:ind w:left="-567" w:right="28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2437D">
        <w:rPr>
          <w:rFonts w:ascii="Times New Roman" w:hAnsi="Times New Roman" w:cs="Times New Roman"/>
          <w:sz w:val="24"/>
          <w:szCs w:val="24"/>
        </w:rPr>
        <w:t xml:space="preserve">Источник: </w:t>
      </w:r>
      <w:hyperlink r:id="rId15" w:history="1">
        <w:r w:rsidRPr="0042437D">
          <w:rPr>
            <w:rStyle w:val="a6"/>
            <w:rFonts w:ascii="Times New Roman" w:hAnsi="Times New Roman" w:cs="Times New Roman"/>
            <w:sz w:val="24"/>
            <w:szCs w:val="24"/>
          </w:rPr>
          <w:t>http://pif.investfunds.ru/funds/rate.phtml</w:t>
        </w:r>
      </w:hyperlink>
    </w:p>
    <w:p w:rsidR="00940207" w:rsidRDefault="00940207" w:rsidP="00940207">
      <w:pPr>
        <w:spacing w:line="240" w:lineRule="auto"/>
        <w:ind w:left="-567" w:right="28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2437D">
        <w:rPr>
          <w:rFonts w:ascii="Times New Roman" w:hAnsi="Times New Roman" w:cs="Times New Roman"/>
          <w:sz w:val="24"/>
          <w:szCs w:val="24"/>
        </w:rPr>
        <w:t>Расчеты: автор</w:t>
      </w:r>
    </w:p>
    <w:p w:rsidR="00940207" w:rsidRPr="00557429" w:rsidRDefault="00940207" w:rsidP="00940207">
      <w:pPr>
        <w:pStyle w:val="a9"/>
        <w:spacing w:line="240" w:lineRule="auto"/>
        <w:ind w:left="-567" w:right="283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429">
        <w:rPr>
          <w:rFonts w:ascii="Times New Roman" w:hAnsi="Times New Roman" w:cs="Times New Roman"/>
          <w:sz w:val="24"/>
          <w:szCs w:val="24"/>
        </w:rPr>
        <w:t>Рис. 5. Сравнение доходности закрытых фондов и индекса ММВБ</w:t>
      </w:r>
    </w:p>
    <w:p w:rsidR="00940207" w:rsidRPr="0042437D" w:rsidRDefault="00940207" w:rsidP="00940207">
      <w:pPr>
        <w:spacing w:line="240" w:lineRule="auto"/>
        <w:ind w:left="-567" w:right="283" w:firstLine="283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9C5CA5" wp14:editId="299AE6C2">
            <wp:extent cx="5943600" cy="3674853"/>
            <wp:effectExtent l="0" t="0" r="0" b="190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ходность закрытых ПИФ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7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E8F" w:rsidRPr="00EC2363" w:rsidRDefault="00940207" w:rsidP="00EC2363">
      <w:pPr>
        <w:spacing w:after="0" w:line="240" w:lineRule="auto"/>
        <w:ind w:left="-567" w:right="28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2437D">
        <w:rPr>
          <w:rFonts w:ascii="Times New Roman" w:hAnsi="Times New Roman" w:cs="Times New Roman"/>
          <w:sz w:val="24"/>
          <w:szCs w:val="24"/>
        </w:rPr>
        <w:t xml:space="preserve">Источник: </w:t>
      </w:r>
      <w:hyperlink r:id="rId17" w:history="1">
        <w:r w:rsidRPr="0042437D">
          <w:rPr>
            <w:rStyle w:val="a6"/>
            <w:rFonts w:ascii="Times New Roman" w:hAnsi="Times New Roman" w:cs="Times New Roman"/>
            <w:sz w:val="24"/>
            <w:szCs w:val="24"/>
          </w:rPr>
          <w:t>http://pif.investfunds.ru/funds/rate.phtml</w:t>
        </w:r>
      </w:hyperlink>
      <w:r w:rsidR="00EC2363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="00EC2363">
        <w:rPr>
          <w:rFonts w:ascii="Times New Roman" w:hAnsi="Times New Roman" w:cs="Times New Roman"/>
          <w:sz w:val="24"/>
          <w:szCs w:val="24"/>
        </w:rPr>
        <w:t>Расчеты: автор</w:t>
      </w:r>
    </w:p>
    <w:p w:rsidR="00AE6921" w:rsidRPr="00EC2363" w:rsidRDefault="00AE6921" w:rsidP="00EC2363">
      <w:pPr>
        <w:spacing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sectPr w:rsidR="00AE6921" w:rsidRPr="00EC2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FD4" w:rsidRDefault="00382FD4" w:rsidP="00FC4B74">
      <w:pPr>
        <w:spacing w:after="0" w:line="240" w:lineRule="auto"/>
      </w:pPr>
      <w:r>
        <w:separator/>
      </w:r>
    </w:p>
  </w:endnote>
  <w:endnote w:type="continuationSeparator" w:id="0">
    <w:p w:rsidR="00382FD4" w:rsidRDefault="00382FD4" w:rsidP="00FC4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FD4" w:rsidRDefault="00382FD4" w:rsidP="00FC4B74">
      <w:pPr>
        <w:spacing w:after="0" w:line="240" w:lineRule="auto"/>
      </w:pPr>
      <w:r>
        <w:separator/>
      </w:r>
    </w:p>
  </w:footnote>
  <w:footnote w:type="continuationSeparator" w:id="0">
    <w:p w:rsidR="00382FD4" w:rsidRDefault="00382FD4" w:rsidP="00FC4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57E1A"/>
    <w:multiLevelType w:val="hybridMultilevel"/>
    <w:tmpl w:val="94145738"/>
    <w:lvl w:ilvl="0" w:tplc="7226AD8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6BED3FEA"/>
    <w:multiLevelType w:val="hybridMultilevel"/>
    <w:tmpl w:val="D6CE371C"/>
    <w:lvl w:ilvl="0" w:tplc="4148B49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5CE"/>
    <w:rsid w:val="00051D6F"/>
    <w:rsid w:val="00076D81"/>
    <w:rsid w:val="001E15CE"/>
    <w:rsid w:val="001F6F46"/>
    <w:rsid w:val="002317A0"/>
    <w:rsid w:val="00382FD4"/>
    <w:rsid w:val="0042437D"/>
    <w:rsid w:val="00557429"/>
    <w:rsid w:val="006D18E3"/>
    <w:rsid w:val="006D6E3B"/>
    <w:rsid w:val="007A5E8F"/>
    <w:rsid w:val="00940207"/>
    <w:rsid w:val="00974BBF"/>
    <w:rsid w:val="00AE3603"/>
    <w:rsid w:val="00AE6921"/>
    <w:rsid w:val="00D27E4B"/>
    <w:rsid w:val="00D44116"/>
    <w:rsid w:val="00EC2363"/>
    <w:rsid w:val="00F77CAD"/>
    <w:rsid w:val="00FC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C4B7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C4B7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C4B74"/>
    <w:rPr>
      <w:vertAlign w:val="superscript"/>
    </w:rPr>
  </w:style>
  <w:style w:type="character" w:styleId="a6">
    <w:name w:val="Hyperlink"/>
    <w:basedOn w:val="a0"/>
    <w:uiPriority w:val="99"/>
    <w:unhideWhenUsed/>
    <w:rsid w:val="00FC4B7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C4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4B7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76D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C4B7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C4B7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C4B74"/>
    <w:rPr>
      <w:vertAlign w:val="superscript"/>
    </w:rPr>
  </w:style>
  <w:style w:type="character" w:styleId="a6">
    <w:name w:val="Hyperlink"/>
    <w:basedOn w:val="a0"/>
    <w:uiPriority w:val="99"/>
    <w:unhideWhenUsed/>
    <w:rsid w:val="00FC4B7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C4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4B7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76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f.investfunds.ru/analitics/amount/" TargetMode="External"/><Relationship Id="rId13" Type="http://schemas.openxmlformats.org/officeDocument/2006/relationships/hyperlink" Target="http://pif.investfunds.ru/funds/rate.p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pif.investfunds.ru/funds/rate.p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pif.investfunds.ru/funds/rate.phtml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if.investfunds.ru/funds/rate.phtml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4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Megadeath</Company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Anonymous</cp:lastModifiedBy>
  <cp:revision>4</cp:revision>
  <dcterms:created xsi:type="dcterms:W3CDTF">2017-03-16T06:29:00Z</dcterms:created>
  <dcterms:modified xsi:type="dcterms:W3CDTF">2017-03-16T15:29:00Z</dcterms:modified>
</cp:coreProperties>
</file>