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74DEB" w:rsidRPr="00B2033A" w:rsidRDefault="00C9016F" w:rsidP="0093216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Ориентационная упорядоченность мембран из оксида графита по данным </w:t>
      </w:r>
      <w:r w:rsidR="00D74DEB" w:rsidRPr="00B2033A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метод</w:t>
      </w:r>
      <w:r w:rsidR="004E34EE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а</w:t>
      </w:r>
      <w:r w:rsidR="00D74DEB" w:rsidRPr="00B2033A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спинового зонда </w:t>
      </w:r>
      <w:r w:rsidR="004E34EE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и сканирующей электронной микроскопии</w:t>
      </w:r>
    </w:p>
    <w:p w:rsidR="00D74DEB" w:rsidRPr="00C9016F" w:rsidRDefault="00D74DEB" w:rsidP="0093216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vertAlign w:val="superscript"/>
        </w:rPr>
      </w:pPr>
      <w:r w:rsidRPr="00B2033A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Матвеев М.В.</w:t>
      </w:r>
      <w:r w:rsidR="004B411E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vertAlign w:val="superscript"/>
        </w:rPr>
        <w:t>1</w:t>
      </w:r>
      <w:r w:rsidR="004B411E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, Чумакова Н.А.</w:t>
      </w:r>
      <w:r w:rsidR="00C9016F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vertAlign w:val="superscript"/>
        </w:rPr>
        <w:t>1,2</w:t>
      </w:r>
    </w:p>
    <w:p w:rsidR="00D74DEB" w:rsidRPr="00B2033A" w:rsidRDefault="004B411E" w:rsidP="009321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 xml:space="preserve">1- </w:t>
      </w:r>
      <w:r w:rsidR="00D74DEB" w:rsidRPr="00B2033A">
        <w:rPr>
          <w:rFonts w:ascii="Times New Roman" w:hAnsi="Times New Roman"/>
          <w:i/>
          <w:color w:val="000000"/>
          <w:sz w:val="24"/>
          <w:szCs w:val="24"/>
        </w:rPr>
        <w:t>Московский государственный университет имени М.В. Ломоносова, </w:t>
      </w:r>
    </w:p>
    <w:p w:rsidR="00D74DEB" w:rsidRPr="008618CB" w:rsidRDefault="00D74DEB" w:rsidP="008618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 w:rsidRPr="00713390">
        <w:rPr>
          <w:rFonts w:ascii="Times New Roman" w:hAnsi="Times New Roman"/>
          <w:i/>
          <w:color w:val="000000"/>
          <w:sz w:val="24"/>
          <w:szCs w:val="24"/>
        </w:rPr>
        <w:t xml:space="preserve">химический </w:t>
      </w:r>
      <w:r w:rsidRPr="008618CB">
        <w:rPr>
          <w:rFonts w:ascii="Times New Roman" w:hAnsi="Times New Roman"/>
          <w:i/>
          <w:color w:val="000000"/>
          <w:sz w:val="24"/>
          <w:szCs w:val="24"/>
        </w:rPr>
        <w:t>факультет, Москва, Россия</w:t>
      </w:r>
    </w:p>
    <w:p w:rsidR="00713390" w:rsidRPr="008618CB" w:rsidRDefault="00C9016F" w:rsidP="008618CB">
      <w:pPr>
        <w:spacing w:after="0" w:line="240" w:lineRule="auto"/>
        <w:jc w:val="center"/>
        <w:rPr>
          <w:rFonts w:ascii="Times New Roman" w:eastAsia="Times New Roman" w:hAnsi="Times New Roman"/>
          <w:i/>
          <w:iCs/>
          <w:color w:val="071622"/>
          <w:spacing w:val="15"/>
          <w:sz w:val="24"/>
          <w:szCs w:val="24"/>
          <w:lang w:eastAsia="ru-RU"/>
        </w:rPr>
      </w:pPr>
      <w:r w:rsidRPr="008618CB">
        <w:rPr>
          <w:rFonts w:ascii="Times New Roman" w:hAnsi="Times New Roman"/>
          <w:i/>
          <w:iCs/>
          <w:sz w:val="24"/>
          <w:szCs w:val="24"/>
        </w:rPr>
        <w:t xml:space="preserve">2 </w:t>
      </w:r>
      <w:r w:rsidR="007218CD" w:rsidRPr="008618CB">
        <w:rPr>
          <w:rFonts w:ascii="Times New Roman" w:hAnsi="Times New Roman"/>
          <w:i/>
          <w:iCs/>
          <w:sz w:val="24"/>
          <w:szCs w:val="24"/>
        </w:rPr>
        <w:t>–</w:t>
      </w:r>
      <w:r w:rsidRPr="008618CB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7218CD" w:rsidRPr="008618CB">
        <w:rPr>
          <w:rFonts w:ascii="Times New Roman" w:eastAsia="Times New Roman" w:hAnsi="Times New Roman"/>
          <w:i/>
          <w:iCs/>
          <w:color w:val="071622"/>
          <w:spacing w:val="15"/>
          <w:sz w:val="24"/>
          <w:szCs w:val="24"/>
          <w:lang w:eastAsia="ru-RU"/>
        </w:rPr>
        <w:t>ФИЦ ХФ РАН</w:t>
      </w:r>
    </w:p>
    <w:p w:rsidR="00713390" w:rsidRPr="008618CB" w:rsidRDefault="00713390" w:rsidP="008618CB">
      <w:pPr>
        <w:spacing w:after="0" w:line="240" w:lineRule="auto"/>
        <w:jc w:val="center"/>
        <w:rPr>
          <w:rFonts w:ascii="Times New Roman" w:eastAsia="Times New Roman" w:hAnsi="Times New Roman"/>
          <w:i/>
          <w:iCs/>
          <w:color w:val="071622"/>
          <w:spacing w:val="15"/>
          <w:sz w:val="24"/>
          <w:szCs w:val="24"/>
          <w:lang w:eastAsia="ru-RU"/>
        </w:rPr>
      </w:pPr>
    </w:p>
    <w:p w:rsidR="00F95DDF" w:rsidRPr="008618CB" w:rsidRDefault="00D74DEB" w:rsidP="008618CB">
      <w:pPr>
        <w:spacing w:after="0" w:line="240" w:lineRule="auto"/>
        <w:ind w:firstLine="39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618CB">
        <w:rPr>
          <w:rFonts w:ascii="Times New Roman" w:hAnsi="Times New Roman"/>
          <w:sz w:val="24"/>
          <w:szCs w:val="24"/>
        </w:rPr>
        <w:t xml:space="preserve">Оксид графита – слоистый материал, состоящий из </w:t>
      </w:r>
      <w:r w:rsidR="00C9016F" w:rsidRPr="008618CB">
        <w:rPr>
          <w:rFonts w:ascii="Times New Roman" w:hAnsi="Times New Roman"/>
          <w:sz w:val="24"/>
          <w:szCs w:val="24"/>
        </w:rPr>
        <w:t xml:space="preserve">окисленных </w:t>
      </w:r>
      <w:proofErr w:type="spellStart"/>
      <w:r w:rsidRPr="008618CB">
        <w:rPr>
          <w:rFonts w:ascii="Times New Roman" w:hAnsi="Times New Roman"/>
          <w:sz w:val="24"/>
          <w:szCs w:val="24"/>
        </w:rPr>
        <w:t>графеновых</w:t>
      </w:r>
      <w:proofErr w:type="spellEnd"/>
      <w:r w:rsidRPr="008618CB">
        <w:rPr>
          <w:rFonts w:ascii="Times New Roman" w:hAnsi="Times New Roman"/>
          <w:sz w:val="24"/>
          <w:szCs w:val="24"/>
        </w:rPr>
        <w:t xml:space="preserve"> слоев, несущих </w:t>
      </w:r>
      <w:r w:rsidR="00C9016F" w:rsidRPr="008618CB">
        <w:rPr>
          <w:rFonts w:ascii="Times New Roman" w:hAnsi="Times New Roman"/>
          <w:sz w:val="24"/>
          <w:szCs w:val="24"/>
        </w:rPr>
        <w:t>карбонильные, эпоксидные, гидроксильные группы</w:t>
      </w:r>
      <w:r w:rsidRPr="008618CB">
        <w:rPr>
          <w:rFonts w:ascii="Times New Roman" w:hAnsi="Times New Roman"/>
          <w:sz w:val="24"/>
          <w:szCs w:val="24"/>
        </w:rPr>
        <w:t xml:space="preserve">. </w:t>
      </w:r>
      <w:r w:rsidRPr="008618CB">
        <w:rPr>
          <w:rFonts w:ascii="Times New Roman" w:hAnsi="Times New Roman"/>
          <w:color w:val="000000"/>
          <w:sz w:val="24"/>
          <w:szCs w:val="24"/>
        </w:rPr>
        <w:t>Мембраны из оксида графита</w:t>
      </w:r>
      <w:r w:rsidR="002D74E0" w:rsidRPr="008618CB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="002D74E0" w:rsidRPr="008618CB">
        <w:rPr>
          <w:rFonts w:ascii="Times New Roman" w:hAnsi="Times New Roman"/>
          <w:color w:val="000000"/>
          <w:sz w:val="24"/>
          <w:szCs w:val="24"/>
          <w:lang w:val="en-US"/>
        </w:rPr>
        <w:t>GO</w:t>
      </w:r>
      <w:r w:rsidR="004E34EE" w:rsidRPr="008618CB">
        <w:rPr>
          <w:rFonts w:ascii="Times New Roman" w:hAnsi="Times New Roman"/>
          <w:color w:val="000000"/>
          <w:sz w:val="24"/>
          <w:szCs w:val="24"/>
          <w:lang w:val="en-US"/>
        </w:rPr>
        <w:t>M</w:t>
      </w:r>
      <w:r w:rsidR="002D74E0" w:rsidRPr="008618CB">
        <w:rPr>
          <w:rFonts w:ascii="Times New Roman" w:hAnsi="Times New Roman"/>
          <w:color w:val="000000"/>
          <w:sz w:val="24"/>
          <w:szCs w:val="24"/>
        </w:rPr>
        <w:t>)</w:t>
      </w:r>
      <w:r w:rsidRPr="008618CB">
        <w:rPr>
          <w:rFonts w:ascii="Times New Roman" w:hAnsi="Times New Roman"/>
          <w:color w:val="000000"/>
          <w:sz w:val="24"/>
          <w:szCs w:val="24"/>
        </w:rPr>
        <w:t xml:space="preserve"> проявляют избирательную проницаемость для жидкостей и газов. </w:t>
      </w:r>
      <w:r w:rsidR="00C9016F" w:rsidRPr="008618CB">
        <w:rPr>
          <w:rFonts w:ascii="Times New Roman" w:hAnsi="Times New Roman"/>
          <w:color w:val="000000"/>
          <w:sz w:val="24"/>
          <w:szCs w:val="24"/>
        </w:rPr>
        <w:t xml:space="preserve">Механизм этого явления в настоящее время не изучен. </w:t>
      </w:r>
      <w:r w:rsidRPr="008618CB">
        <w:rPr>
          <w:rFonts w:ascii="Times New Roman" w:hAnsi="Times New Roman"/>
          <w:color w:val="000000"/>
          <w:sz w:val="24"/>
          <w:szCs w:val="24"/>
        </w:rPr>
        <w:t>Одним из факторов, определяющих проницаемость</w:t>
      </w:r>
      <w:r w:rsidR="00F95DDF" w:rsidRPr="008618CB">
        <w:rPr>
          <w:rFonts w:ascii="Times New Roman" w:hAnsi="Times New Roman"/>
          <w:color w:val="000000"/>
          <w:sz w:val="24"/>
          <w:szCs w:val="24"/>
        </w:rPr>
        <w:t xml:space="preserve"> мембран</w:t>
      </w:r>
      <w:r w:rsidRPr="008618CB">
        <w:rPr>
          <w:rFonts w:ascii="Times New Roman" w:hAnsi="Times New Roman"/>
          <w:color w:val="000000"/>
          <w:sz w:val="24"/>
          <w:szCs w:val="24"/>
        </w:rPr>
        <w:t>,</w:t>
      </w:r>
      <w:r w:rsidR="00F95DDF" w:rsidRPr="008618CB">
        <w:rPr>
          <w:rFonts w:ascii="Times New Roman" w:hAnsi="Times New Roman"/>
          <w:color w:val="000000"/>
          <w:sz w:val="24"/>
          <w:szCs w:val="24"/>
        </w:rPr>
        <w:t xml:space="preserve"> по-видимому,</w:t>
      </w:r>
      <w:r w:rsidRPr="008618CB">
        <w:rPr>
          <w:rFonts w:ascii="Times New Roman" w:hAnsi="Times New Roman"/>
          <w:color w:val="000000"/>
          <w:sz w:val="24"/>
          <w:szCs w:val="24"/>
        </w:rPr>
        <w:t xml:space="preserve"> является ориентационная упорядоченность </w:t>
      </w:r>
      <w:proofErr w:type="spellStart"/>
      <w:r w:rsidRPr="008618CB">
        <w:rPr>
          <w:rFonts w:ascii="Times New Roman" w:hAnsi="Times New Roman"/>
          <w:color w:val="000000"/>
          <w:sz w:val="24"/>
          <w:szCs w:val="24"/>
        </w:rPr>
        <w:t>графеновых</w:t>
      </w:r>
      <w:proofErr w:type="spellEnd"/>
      <w:r w:rsidRPr="008618CB">
        <w:rPr>
          <w:rFonts w:ascii="Times New Roman" w:hAnsi="Times New Roman"/>
          <w:color w:val="000000"/>
          <w:sz w:val="24"/>
          <w:szCs w:val="24"/>
        </w:rPr>
        <w:t xml:space="preserve"> слоев. На настоящий момент единственной экспериментальной методикой, позволяющей количественно характеризовать упорядоченность слоев в мембранах из оксида графита, является метод спинового зонда. </w:t>
      </w:r>
      <w:r w:rsidR="00F95DDF" w:rsidRPr="008618C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2F794A" w:rsidRPr="008618C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Наиболее перспективными зондами являются стабильные </w:t>
      </w:r>
      <w:proofErr w:type="spellStart"/>
      <w:r w:rsidR="002F794A" w:rsidRPr="008618C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нитроксильные</w:t>
      </w:r>
      <w:proofErr w:type="spellEnd"/>
      <w:r w:rsidR="002F794A" w:rsidRPr="008618C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радикал</w:t>
      </w:r>
      <w:r w:rsidR="009719D6" w:rsidRPr="008618C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ы</w:t>
      </w:r>
      <w:r w:rsidR="002D74E0" w:rsidRPr="008618C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2D74E0" w:rsidRPr="008618CB" w:rsidRDefault="002D74E0" w:rsidP="008618CB">
      <w:pPr>
        <w:spacing w:after="0" w:line="240" w:lineRule="auto"/>
        <w:ind w:firstLine="39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618C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Для моделирования угловых зависимостей спектров ЭПР </w:t>
      </w:r>
      <w:proofErr w:type="spellStart"/>
      <w:r w:rsidRPr="008618C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нитроксильных</w:t>
      </w:r>
      <w:proofErr w:type="spellEnd"/>
      <w:r w:rsidRPr="008618C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радикалов в </w:t>
      </w:r>
      <w:r w:rsidR="004E34EE" w:rsidRPr="008618CB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GOM</w:t>
      </w:r>
      <w:r w:rsidRPr="008618C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был разработан подход, </w:t>
      </w:r>
      <w:r w:rsidR="00F95DDF" w:rsidRPr="008618C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значительной степени нивелирующий влияние собственного сигнала оксида графита</w:t>
      </w:r>
      <w:r w:rsidRPr="008618C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Подход основан на варьировании вкладов различных компонент спектра в суммарную невязку – разницу между экспериментальным и теоретически рассчитанным спектром. Результат моделирования угловой зависимости спектров ЭП</w:t>
      </w:r>
      <w:r w:rsidR="004B411E" w:rsidRPr="008618C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</w:t>
      </w:r>
      <w:r w:rsidRPr="008618C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радикала </w:t>
      </w:r>
      <w:r w:rsidRPr="008618CB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H</w:t>
      </w:r>
      <w:r w:rsidRPr="008618C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5, сорбированного на </w:t>
      </w:r>
      <w:r w:rsidR="007218CD" w:rsidRPr="008618C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внутренней </w:t>
      </w:r>
      <w:r w:rsidRPr="008618C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поверхности </w:t>
      </w:r>
      <w:r w:rsidR="004E34EE" w:rsidRPr="008618CB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GOM</w:t>
      </w:r>
      <w:r w:rsidRPr="008618C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представлен на рисунке 1</w:t>
      </w:r>
      <w:r w:rsidR="00F95DDF" w:rsidRPr="008618C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</w:t>
      </w:r>
      <w:r w:rsidRPr="008618C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4B411E" w:rsidRDefault="00F95DDF" w:rsidP="008618CB">
      <w:pPr>
        <w:spacing w:after="0" w:line="240" w:lineRule="auto"/>
        <w:ind w:firstLine="39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618C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</w:t>
      </w:r>
      <w:r w:rsidR="004B411E" w:rsidRPr="008618C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кисленные </w:t>
      </w:r>
      <w:proofErr w:type="spellStart"/>
      <w:r w:rsidR="004B411E" w:rsidRPr="008618C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графеновые</w:t>
      </w:r>
      <w:proofErr w:type="spellEnd"/>
      <w:r w:rsidR="004B411E" w:rsidRPr="008618C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слои в мембранах из оксида графита </w:t>
      </w:r>
      <w:r w:rsidRPr="008618C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образуют</w:t>
      </w:r>
      <w:r w:rsidR="004B411E" w:rsidRPr="008618C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ламели. Первые поп</w:t>
      </w:r>
      <w:r w:rsidRPr="008618C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ытки определения упорядоченности</w:t>
      </w:r>
      <w:r w:rsidR="004B411E" w:rsidRPr="008618C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ламелей путем анализа микрофотографий СЭМ показали, что упорядоченность ламелей значительно</w:t>
      </w:r>
      <w:r w:rsidR="004B411E" w:rsidRPr="00B2033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превышает упорядоченность спиновых зондов. </w:t>
      </w:r>
      <w:r w:rsidR="004E34E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Микрофотография СЭМ мембраны  представлена на рисунке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1б</w:t>
      </w:r>
      <w:r w:rsidR="004E34E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4"/>
        <w:gridCol w:w="4686"/>
      </w:tblGrid>
      <w:tr w:rsidR="004B411E" w:rsidTr="00932163">
        <w:tc>
          <w:tcPr>
            <w:tcW w:w="4530" w:type="dxa"/>
            <w:vAlign w:val="center"/>
          </w:tcPr>
          <w:p w:rsidR="004B411E" w:rsidRPr="00713390" w:rsidRDefault="00713390" w:rsidP="00713390">
            <w:pPr>
              <w:spacing w:after="120" w:line="240" w:lineRule="auto"/>
              <w:jc w:val="center"/>
              <w:rPr>
                <w:noProof/>
              </w:rPr>
            </w:pPr>
            <w:r w:rsidRPr="00713390">
              <w:rPr>
                <w:noProof/>
                <w:lang w:eastAsia="ru-RU"/>
              </w:rPr>
              <w:drawing>
                <wp:inline distT="0" distB="0" distL="0" distR="0" wp14:anchorId="1C884DC8" wp14:editId="4AB8725C">
                  <wp:extent cx="2495550" cy="2049063"/>
                  <wp:effectExtent l="0" t="0" r="0" b="0"/>
                  <wp:docPr id="2" name="Рисунок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FBE57DE-3D2E-D7EE-FC8B-A2B2A4E6589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>
                            <a:extLst>
                              <a:ext uri="{FF2B5EF4-FFF2-40B4-BE49-F238E27FC236}">
                                <a16:creationId xmlns:a16="http://schemas.microsoft.com/office/drawing/2014/main" id="{5FBE57DE-3D2E-D7EE-FC8B-A2B2A4E6589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/>
                          <a:srcRect l="17302" t="10187" r="16650" b="19049"/>
                          <a:stretch/>
                        </pic:blipFill>
                        <pic:spPr bwMode="auto">
                          <a:xfrm>
                            <a:off x="0" y="0"/>
                            <a:ext cx="2495550" cy="20490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0" w:type="dxa"/>
            <w:vAlign w:val="center"/>
          </w:tcPr>
          <w:p w:rsidR="004B411E" w:rsidRDefault="004E34EE" w:rsidP="004E34EE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833394" cy="2019300"/>
                  <wp:effectExtent l="0" t="0" r="508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0273" cy="2066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2D55" w:rsidTr="00932163">
        <w:tc>
          <w:tcPr>
            <w:tcW w:w="4530" w:type="dxa"/>
            <w:vAlign w:val="center"/>
          </w:tcPr>
          <w:p w:rsidR="005E2D55" w:rsidRPr="005E2D55" w:rsidRDefault="005E2D55" w:rsidP="00713390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eastAsia="ru-RU"/>
              </w:rPr>
            </w:pPr>
            <w:r w:rsidRPr="005E2D55">
              <w:rPr>
                <w:rFonts w:ascii="Times New Roman" w:hAnsi="Times New Roman"/>
                <w:b/>
                <w:bCs/>
                <w:noProof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4530" w:type="dxa"/>
            <w:vAlign w:val="center"/>
          </w:tcPr>
          <w:p w:rsidR="005E2D55" w:rsidRPr="005E2D55" w:rsidRDefault="005E2D55" w:rsidP="004E34EE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eastAsia="ru-RU"/>
              </w:rPr>
            </w:pPr>
            <w:r w:rsidRPr="005E2D55">
              <w:rPr>
                <w:rFonts w:ascii="Times New Roman" w:hAnsi="Times New Roman"/>
                <w:b/>
                <w:bCs/>
                <w:noProof/>
                <w:sz w:val="28"/>
                <w:szCs w:val="28"/>
                <w:lang w:eastAsia="ru-RU"/>
              </w:rPr>
              <w:t>б</w:t>
            </w:r>
          </w:p>
        </w:tc>
      </w:tr>
      <w:tr w:rsidR="00C9016F" w:rsidTr="00932163">
        <w:tc>
          <w:tcPr>
            <w:tcW w:w="9060" w:type="dxa"/>
            <w:gridSpan w:val="2"/>
          </w:tcPr>
          <w:p w:rsidR="00932163" w:rsidRPr="00C9016F" w:rsidRDefault="00C9016F" w:rsidP="00C9016F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Рис. 1. а) Угловая зависимость спектра ЭПР стабильного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нитроксильного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радикала в мембране из оксида графита</w:t>
            </w:r>
            <w:r w:rsidRPr="004E34E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черные линии – экспериментальные спектры, красные линии – результат совместного моделирования спектров</w:t>
            </w:r>
            <w:r w:rsidRPr="00C9016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б) Микрофотография СЭМ мембраны.</w:t>
            </w:r>
            <w:r w:rsidR="00F95DD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</w:tbl>
    <w:p w:rsidR="00713390" w:rsidRDefault="004B411E" w:rsidP="00713390">
      <w:pPr>
        <w:jc w:val="center"/>
        <w:rPr>
          <w:rFonts w:ascii="Times New Roman" w:eastAsia="Arial Unicode MS" w:hAnsi="Times New Roman"/>
          <w:i/>
          <w:color w:val="000000"/>
          <w:sz w:val="24"/>
          <w:szCs w:val="24"/>
          <w:lang w:val="ru"/>
        </w:rPr>
      </w:pPr>
      <w:r w:rsidRPr="00B2033A">
        <w:rPr>
          <w:rFonts w:ascii="Times New Roman" w:hAnsi="Times New Roman"/>
          <w:i/>
          <w:sz w:val="24"/>
          <w:szCs w:val="24"/>
        </w:rPr>
        <w:t>Работа выполнена при поддержке гранта РНФ № 21-73-00124</w:t>
      </w:r>
      <w:r w:rsidRPr="00B2033A">
        <w:rPr>
          <w:rFonts w:ascii="Times New Roman" w:eastAsia="Arial Unicode MS" w:hAnsi="Times New Roman"/>
          <w:i/>
          <w:color w:val="000000"/>
          <w:sz w:val="24"/>
          <w:szCs w:val="24"/>
          <w:lang w:val="ru"/>
        </w:rPr>
        <w:t>6</w:t>
      </w:r>
    </w:p>
    <w:p w:rsidR="008618CB" w:rsidRPr="008618CB" w:rsidRDefault="004B411E" w:rsidP="008618CB">
      <w:pPr>
        <w:jc w:val="center"/>
        <w:rPr>
          <w:rFonts w:ascii="Times New Roman" w:eastAsia="Arial Unicode MS" w:hAnsi="Times New Roman"/>
          <w:color w:val="000000"/>
          <w:sz w:val="24"/>
          <w:szCs w:val="24"/>
          <w:lang w:val="ru"/>
        </w:rPr>
      </w:pPr>
      <w:r w:rsidRPr="00B2033A">
        <w:rPr>
          <w:rFonts w:ascii="Times New Roman" w:eastAsia="Arial Unicode MS" w:hAnsi="Times New Roman"/>
          <w:color w:val="000000"/>
          <w:sz w:val="24"/>
          <w:szCs w:val="24"/>
          <w:lang w:val="ru"/>
        </w:rPr>
        <w:t>Автор</w:t>
      </w:r>
      <w:r w:rsidR="00C9016F">
        <w:rPr>
          <w:rFonts w:ascii="Times New Roman" w:eastAsia="Arial Unicode MS" w:hAnsi="Times New Roman"/>
          <w:color w:val="000000"/>
          <w:sz w:val="24"/>
          <w:szCs w:val="24"/>
          <w:lang w:val="ru"/>
        </w:rPr>
        <w:t>ы</w:t>
      </w:r>
      <w:r w:rsidRPr="00B2033A">
        <w:rPr>
          <w:rFonts w:ascii="Times New Roman" w:eastAsia="Arial Unicode MS" w:hAnsi="Times New Roman"/>
          <w:color w:val="000000"/>
          <w:sz w:val="24"/>
          <w:szCs w:val="24"/>
          <w:lang w:val="ru"/>
        </w:rPr>
        <w:t xml:space="preserve"> благодар</w:t>
      </w:r>
      <w:r w:rsidR="00C9016F">
        <w:rPr>
          <w:rFonts w:ascii="Times New Roman" w:eastAsia="Arial Unicode MS" w:hAnsi="Times New Roman"/>
          <w:color w:val="000000"/>
          <w:sz w:val="24"/>
          <w:szCs w:val="24"/>
          <w:lang w:val="ru"/>
        </w:rPr>
        <w:t>ны</w:t>
      </w:r>
      <w:r w:rsidRPr="00B2033A">
        <w:rPr>
          <w:rFonts w:ascii="Times New Roman" w:eastAsia="Arial Unicode MS" w:hAnsi="Times New Roman"/>
          <w:color w:val="000000"/>
          <w:sz w:val="24"/>
          <w:szCs w:val="24"/>
          <w:lang w:val="ru"/>
        </w:rPr>
        <w:t xml:space="preserve"> Градову О.В. и Ткачеву Н.А. (ФИЦ ХФ РАН) за разработку программы машинного обучения для анализа микрофотографий СЭМ.</w:t>
      </w:r>
    </w:p>
    <w:sectPr w:rsidR="008618CB" w:rsidRPr="008618CB" w:rsidSect="00D74DE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DEB"/>
    <w:rsid w:val="002D74E0"/>
    <w:rsid w:val="002F794A"/>
    <w:rsid w:val="004B411E"/>
    <w:rsid w:val="004E34EE"/>
    <w:rsid w:val="005E2D55"/>
    <w:rsid w:val="00713390"/>
    <w:rsid w:val="007218CD"/>
    <w:rsid w:val="008618CB"/>
    <w:rsid w:val="00932163"/>
    <w:rsid w:val="009719D6"/>
    <w:rsid w:val="00B7516B"/>
    <w:rsid w:val="00C9016F"/>
    <w:rsid w:val="00D74DEB"/>
    <w:rsid w:val="00F95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B2B2AB"/>
  <w15:docId w15:val="{D6336AB9-2FBB-48A3-82A0-FCC0D7A45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4DEB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41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21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18CD"/>
    <w:rPr>
      <w:rFonts w:ascii="Tahoma" w:eastAsia="Calibri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 Михаил</dc:creator>
  <cp:lastModifiedBy>Матвеев Михаил</cp:lastModifiedBy>
  <cp:revision>3</cp:revision>
  <dcterms:created xsi:type="dcterms:W3CDTF">2023-03-19T19:04:00Z</dcterms:created>
  <dcterms:modified xsi:type="dcterms:W3CDTF">2023-03-19T19:07:00Z</dcterms:modified>
</cp:coreProperties>
</file>