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8B" w:rsidRDefault="008C272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94615</wp:posOffset>
            </wp:positionV>
            <wp:extent cx="5135245" cy="3752850"/>
            <wp:effectExtent l="0" t="0" r="0" b="0"/>
            <wp:wrapThrough wrapText="bothSides">
              <wp:wrapPolygon edited="0">
                <wp:start x="9135" y="1316"/>
                <wp:lineTo x="321" y="2083"/>
                <wp:lineTo x="321" y="2631"/>
                <wp:lineTo x="9135" y="3070"/>
                <wp:lineTo x="1202" y="4166"/>
                <wp:lineTo x="1202" y="4824"/>
                <wp:lineTo x="2324" y="4934"/>
                <wp:lineTo x="2324" y="6140"/>
                <wp:lineTo x="10817" y="6579"/>
                <wp:lineTo x="4647" y="6798"/>
                <wp:lineTo x="4567" y="8223"/>
                <wp:lineTo x="9135" y="8333"/>
                <wp:lineTo x="9135" y="10087"/>
                <wp:lineTo x="3766" y="10197"/>
                <wp:lineTo x="3766" y="10745"/>
                <wp:lineTo x="9215" y="11842"/>
                <wp:lineTo x="3045" y="12938"/>
                <wp:lineTo x="3045" y="13596"/>
                <wp:lineTo x="9135" y="13596"/>
                <wp:lineTo x="9135" y="15350"/>
                <wp:lineTo x="1362" y="15350"/>
                <wp:lineTo x="1362" y="16556"/>
                <wp:lineTo x="9215" y="17105"/>
                <wp:lineTo x="7933" y="18091"/>
                <wp:lineTo x="7452" y="18640"/>
                <wp:lineTo x="7452" y="18969"/>
                <wp:lineTo x="8974" y="20613"/>
                <wp:lineTo x="9055" y="20942"/>
                <wp:lineTo x="20833" y="20942"/>
                <wp:lineTo x="20833" y="20504"/>
                <wp:lineTo x="9215" y="18859"/>
                <wp:lineTo x="10176" y="17214"/>
                <wp:lineTo x="10176" y="17105"/>
                <wp:lineTo x="11939" y="16556"/>
                <wp:lineTo x="12019" y="15679"/>
                <wp:lineTo x="10897" y="15350"/>
                <wp:lineTo x="15465" y="14583"/>
                <wp:lineTo x="15785" y="14035"/>
                <wp:lineTo x="14744" y="13596"/>
                <wp:lineTo x="15305" y="12061"/>
                <wp:lineTo x="16106" y="11842"/>
                <wp:lineTo x="20032" y="10416"/>
                <wp:lineTo x="20032" y="10087"/>
                <wp:lineTo x="20273" y="8662"/>
                <wp:lineTo x="19792" y="8443"/>
                <wp:lineTo x="16747" y="8333"/>
                <wp:lineTo x="20112" y="7456"/>
                <wp:lineTo x="19792" y="6579"/>
                <wp:lineTo x="16987" y="6469"/>
                <wp:lineTo x="17548" y="5482"/>
                <wp:lineTo x="16587" y="4824"/>
                <wp:lineTo x="17067" y="4824"/>
                <wp:lineTo x="19391" y="3399"/>
                <wp:lineTo x="19792" y="2960"/>
                <wp:lineTo x="19872" y="2193"/>
                <wp:lineTo x="19551" y="1316"/>
                <wp:lineTo x="9135" y="1316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lang w:val="en-US"/>
        </w:rPr>
        <w:br/>
      </w: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lang w:val="en-US"/>
        </w:rPr>
      </w:pPr>
    </w:p>
    <w:p w:rsidR="008C272A" w:rsidRDefault="008C272A">
      <w:pPr>
        <w:rPr>
          <w:rFonts w:ascii="Times New Roman" w:hAnsi="Times New Roman" w:cs="Times New Roman"/>
          <w:b/>
          <w:sz w:val="24"/>
          <w:szCs w:val="24"/>
        </w:rPr>
      </w:pPr>
      <w:r w:rsidRPr="008C272A">
        <w:rPr>
          <w:rFonts w:ascii="Times New Roman" w:hAnsi="Times New Roman" w:cs="Times New Roman"/>
          <w:b/>
          <w:sz w:val="24"/>
          <w:szCs w:val="24"/>
        </w:rPr>
        <w:t>Рис. 1.</w:t>
      </w:r>
      <w:r w:rsidR="00360148">
        <w:rPr>
          <w:rFonts w:ascii="Times New Roman" w:hAnsi="Times New Roman" w:cs="Times New Roman"/>
          <w:b/>
          <w:sz w:val="24"/>
          <w:szCs w:val="24"/>
        </w:rPr>
        <w:t xml:space="preserve"> Распределение ответов на вопрос о том, что дает молодым людям  обучение на Ю</w:t>
      </w:r>
      <w:r w:rsidRPr="008C272A">
        <w:rPr>
          <w:rFonts w:ascii="Times New Roman" w:hAnsi="Times New Roman" w:cs="Times New Roman"/>
          <w:b/>
          <w:sz w:val="24"/>
          <w:szCs w:val="24"/>
        </w:rPr>
        <w:t>ридическом факультете?</w:t>
      </w:r>
      <w:r w:rsidR="000B680A">
        <w:rPr>
          <w:rFonts w:ascii="Times New Roman" w:hAnsi="Times New Roman" w:cs="Times New Roman"/>
          <w:b/>
          <w:sz w:val="24"/>
          <w:szCs w:val="24"/>
        </w:rPr>
        <w:t>(</w:t>
      </w:r>
      <w:r w:rsidRPr="008C272A">
        <w:rPr>
          <w:rFonts w:ascii="Times New Roman" w:hAnsi="Times New Roman" w:cs="Times New Roman"/>
          <w:b/>
          <w:sz w:val="24"/>
          <w:szCs w:val="24"/>
        </w:rPr>
        <w:t>%</w:t>
      </w:r>
      <w:r w:rsidR="000B680A">
        <w:rPr>
          <w:rFonts w:ascii="Times New Roman" w:hAnsi="Times New Roman" w:cs="Times New Roman"/>
          <w:b/>
          <w:sz w:val="24"/>
          <w:szCs w:val="24"/>
        </w:rPr>
        <w:t>)</w:t>
      </w:r>
      <w:r w:rsidRPr="008C2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67A" w:rsidRDefault="009964AF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34925</wp:posOffset>
            </wp:positionV>
            <wp:extent cx="5422265" cy="3954780"/>
            <wp:effectExtent l="0" t="0" r="0" b="0"/>
            <wp:wrapThrough wrapText="bothSides">
              <wp:wrapPolygon edited="0">
                <wp:start x="10321" y="1249"/>
                <wp:lineTo x="6982" y="1769"/>
                <wp:lineTo x="6982" y="2289"/>
                <wp:lineTo x="1518" y="3329"/>
                <wp:lineTo x="1518" y="4578"/>
                <wp:lineTo x="10321" y="4578"/>
                <wp:lineTo x="5084" y="5618"/>
                <wp:lineTo x="5084" y="6243"/>
                <wp:lineTo x="10321" y="6243"/>
                <wp:lineTo x="3263" y="7595"/>
                <wp:lineTo x="3263" y="8116"/>
                <wp:lineTo x="9638" y="9572"/>
                <wp:lineTo x="5767" y="9572"/>
                <wp:lineTo x="5767" y="10092"/>
                <wp:lineTo x="10321" y="11237"/>
                <wp:lineTo x="4553" y="11549"/>
                <wp:lineTo x="4553" y="12069"/>
                <wp:lineTo x="10776" y="12902"/>
                <wp:lineTo x="7058" y="13526"/>
                <wp:lineTo x="7058" y="14046"/>
                <wp:lineTo x="10397" y="14566"/>
                <wp:lineTo x="5616" y="15503"/>
                <wp:lineTo x="5616" y="16127"/>
                <wp:lineTo x="10321" y="16231"/>
                <wp:lineTo x="8955" y="17168"/>
                <wp:lineTo x="8575" y="17584"/>
                <wp:lineTo x="8575" y="18000"/>
                <wp:lineTo x="10245" y="19665"/>
                <wp:lineTo x="20717" y="19665"/>
                <wp:lineTo x="20945" y="19249"/>
                <wp:lineTo x="11990" y="17896"/>
                <wp:lineTo x="12294" y="17584"/>
                <wp:lineTo x="12294" y="16960"/>
                <wp:lineTo x="11914" y="16231"/>
                <wp:lineTo x="12825" y="14671"/>
                <wp:lineTo x="12825" y="14566"/>
                <wp:lineTo x="13204" y="13422"/>
                <wp:lineTo x="12825" y="12902"/>
                <wp:lineTo x="13432" y="12798"/>
                <wp:lineTo x="13736" y="11549"/>
                <wp:lineTo x="12825" y="11237"/>
                <wp:lineTo x="21021" y="10613"/>
                <wp:lineTo x="21021" y="9988"/>
                <wp:lineTo x="14191" y="9572"/>
                <wp:lineTo x="20186" y="9572"/>
                <wp:lineTo x="21248" y="9364"/>
                <wp:lineTo x="21097" y="7908"/>
                <wp:lineTo x="15860" y="6243"/>
                <wp:lineTo x="15785" y="4682"/>
                <wp:lineTo x="15785" y="4578"/>
                <wp:lineTo x="15860" y="4578"/>
                <wp:lineTo x="18137" y="2913"/>
                <wp:lineTo x="20641" y="2705"/>
                <wp:lineTo x="20869" y="1249"/>
                <wp:lineTo x="19655" y="1249"/>
                <wp:lineTo x="10321" y="1249"/>
              </wp:wrapPolygon>
            </wp:wrapThrough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8C27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E167A" w:rsidRDefault="00FE167A" w:rsidP="008C272A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0B680A" w:rsidRDefault="008C272A" w:rsidP="009964AF">
      <w:pPr>
        <w:tabs>
          <w:tab w:val="left" w:pos="8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Рис.2.Виды деятельности наиболее привлекательные после получения диплома(%)</w:t>
      </w:r>
    </w:p>
    <w:p w:rsidR="000B680A" w:rsidRDefault="0036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40005</wp:posOffset>
            </wp:positionV>
            <wp:extent cx="4875530" cy="2745105"/>
            <wp:effectExtent l="76200" t="19050" r="58420" b="17145"/>
            <wp:wrapThrough wrapText="bothSides">
              <wp:wrapPolygon edited="0">
                <wp:start x="-338" y="-150"/>
                <wp:lineTo x="-338" y="21735"/>
                <wp:lineTo x="21774" y="21735"/>
                <wp:lineTo x="21859" y="21735"/>
                <wp:lineTo x="21859" y="21585"/>
                <wp:lineTo x="21774" y="21435"/>
                <wp:lineTo x="21774" y="-150"/>
                <wp:lineTo x="-338" y="-150"/>
              </wp:wrapPolygon>
            </wp:wrapThrough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Рис.3. Интересно ли  Вам учиться на факультете?(%)</w:t>
      </w: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B680A" w:rsidRDefault="00A97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312420</wp:posOffset>
            </wp:positionV>
            <wp:extent cx="5573395" cy="3867785"/>
            <wp:effectExtent l="19050" t="0" r="27305" b="0"/>
            <wp:wrapThrough wrapText="bothSides">
              <wp:wrapPolygon edited="0">
                <wp:start x="-74" y="0"/>
                <wp:lineTo x="-74" y="21596"/>
                <wp:lineTo x="21706" y="21596"/>
                <wp:lineTo x="21706" y="0"/>
                <wp:lineTo x="-74" y="0"/>
              </wp:wrapPolygon>
            </wp:wrapThrough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</w:p>
    <w:p w:rsidR="000B680A" w:rsidRDefault="000B6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Рис.4. Удовлетворенность студентов различными сторонами образовательного процесса(%).</w:t>
      </w:r>
    </w:p>
    <w:p w:rsidR="009964AF" w:rsidRPr="005167BD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5167BD" w:rsidRDefault="005167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67BD" w:rsidRDefault="005167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-4"/>
        <w:tblpPr w:leftFromText="180" w:rightFromText="180" w:vertAnchor="text" w:horzAnchor="margin" w:tblpY="89"/>
        <w:tblW w:w="5019" w:type="pct"/>
        <w:tblLayout w:type="fixed"/>
        <w:tblLook w:val="04A0"/>
      </w:tblPr>
      <w:tblGrid>
        <w:gridCol w:w="521"/>
        <w:gridCol w:w="2567"/>
        <w:gridCol w:w="707"/>
        <w:gridCol w:w="847"/>
        <w:gridCol w:w="569"/>
        <w:gridCol w:w="665"/>
        <w:gridCol w:w="847"/>
        <w:gridCol w:w="755"/>
        <w:gridCol w:w="663"/>
        <w:gridCol w:w="17"/>
        <w:gridCol w:w="851"/>
        <w:gridCol w:w="598"/>
      </w:tblGrid>
      <w:tr w:rsidR="005167BD" w:rsidRPr="003255E9" w:rsidTr="005167BD">
        <w:trPr>
          <w:cnfStyle w:val="100000000000"/>
          <w:trHeight w:val="510"/>
        </w:trPr>
        <w:tc>
          <w:tcPr>
            <w:cnfStyle w:val="001000000000"/>
            <w:tcW w:w="5000" w:type="pct"/>
            <w:gridSpan w:val="12"/>
            <w:shd w:val="clear" w:color="auto" w:fill="B8A8CC"/>
            <w:vAlign w:val="center"/>
          </w:tcPr>
          <w:p w:rsidR="005167BD" w:rsidRPr="00CA41B1" w:rsidRDefault="005167BD" w:rsidP="005167BD">
            <w:pPr>
              <w:jc w:val="center"/>
              <w:rPr>
                <w:rFonts w:asciiTheme="majorHAnsi" w:hAnsiTheme="majorHAnsi" w:cs="Arial"/>
                <w:i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auto"/>
                <w:sz w:val="24"/>
                <w:szCs w:val="24"/>
              </w:rPr>
              <w:t xml:space="preserve">Таблица. </w:t>
            </w:r>
            <w:r w:rsidRPr="005167BD">
              <w:rPr>
                <w:rFonts w:asciiTheme="majorHAnsi" w:hAnsiTheme="majorHAnsi" w:cs="Arial"/>
                <w:i/>
                <w:color w:val="auto"/>
                <w:sz w:val="24"/>
                <w:szCs w:val="24"/>
              </w:rPr>
              <w:t>1</w:t>
            </w:r>
            <w:r w:rsidRPr="00CA41B1">
              <w:rPr>
                <w:rFonts w:asciiTheme="majorHAnsi" w:hAnsiTheme="majorHAnsi" w:cs="Arial"/>
                <w:i/>
                <w:color w:val="auto"/>
                <w:sz w:val="24"/>
                <w:szCs w:val="24"/>
              </w:rPr>
              <w:t xml:space="preserve">. Динамика удовлетворенности студентов различными сторонами учебного </w:t>
            </w:r>
            <w:proofErr w:type="spellStart"/>
            <w:r w:rsidRPr="00CA41B1">
              <w:rPr>
                <w:rFonts w:asciiTheme="majorHAnsi" w:hAnsiTheme="majorHAnsi" w:cs="Arial"/>
                <w:i/>
                <w:color w:val="auto"/>
                <w:sz w:val="24"/>
                <w:szCs w:val="24"/>
              </w:rPr>
              <w:t>процесса,%</w:t>
            </w:r>
            <w:proofErr w:type="spellEnd"/>
          </w:p>
        </w:tc>
      </w:tr>
      <w:tr w:rsidR="005167BD" w:rsidRPr="003255E9" w:rsidTr="005167BD">
        <w:trPr>
          <w:cnfStyle w:val="000000100000"/>
          <w:trHeight w:val="340"/>
        </w:trPr>
        <w:tc>
          <w:tcPr>
            <w:cnfStyle w:val="001000000000"/>
            <w:tcW w:w="271" w:type="pct"/>
            <w:vMerge w:val="restar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№</w:t>
            </w:r>
          </w:p>
        </w:tc>
        <w:tc>
          <w:tcPr>
            <w:tcW w:w="1336" w:type="pct"/>
            <w:vMerge w:val="restar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1105" w:type="pct"/>
            <w:gridSpan w:val="3"/>
            <w:tcBorders>
              <w:left w:val="triple" w:sz="2" w:space="0" w:color="5F497A" w:themeColor="accent4" w:themeShade="BF"/>
              <w:right w:val="triple" w:sz="4" w:space="0" w:color="5F497A" w:themeColor="accent4" w:themeShade="BF"/>
            </w:tcBorders>
            <w:vAlign w:val="center"/>
          </w:tcPr>
          <w:p w:rsidR="005167BD" w:rsidRPr="00142103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142103">
              <w:rPr>
                <w:rFonts w:cs="Arial"/>
                <w:b/>
                <w:sz w:val="20"/>
                <w:szCs w:val="20"/>
              </w:rPr>
              <w:t>2008год</w:t>
            </w:r>
          </w:p>
        </w:tc>
        <w:tc>
          <w:tcPr>
            <w:tcW w:w="1180" w:type="pct"/>
            <w:gridSpan w:val="3"/>
            <w:tcBorders>
              <w:left w:val="triple" w:sz="4" w:space="0" w:color="5F497A" w:themeColor="accent4" w:themeShade="BF"/>
              <w:bottom w:val="triple" w:sz="2" w:space="0" w:color="5F497A" w:themeColor="accent4" w:themeShade="BF"/>
              <w:right w:val="triple" w:sz="6" w:space="0" w:color="5F497A" w:themeColor="accent4" w:themeShade="BF"/>
            </w:tcBorders>
            <w:shd w:val="clear" w:color="auto" w:fill="B2A1C7" w:themeFill="accent4" w:themeFillTint="99"/>
            <w:vAlign w:val="center"/>
          </w:tcPr>
          <w:p w:rsidR="005167BD" w:rsidRPr="00142103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142103">
              <w:rPr>
                <w:rFonts w:cs="Arial"/>
                <w:b/>
                <w:sz w:val="20"/>
                <w:szCs w:val="20"/>
              </w:rPr>
              <w:t>2011год</w:t>
            </w:r>
          </w:p>
        </w:tc>
        <w:tc>
          <w:tcPr>
            <w:tcW w:w="1108" w:type="pct"/>
            <w:gridSpan w:val="4"/>
            <w:tcBorders>
              <w:left w:val="triple" w:sz="6" w:space="0" w:color="5F497A" w:themeColor="accent4" w:themeShade="BF"/>
              <w:bottom w:val="triple" w:sz="2" w:space="0" w:color="5F497A" w:themeColor="accent4" w:themeShade="BF"/>
            </w:tcBorders>
            <w:shd w:val="clear" w:color="auto" w:fill="B2A1C7" w:themeFill="accent4" w:themeFillTint="99"/>
            <w:vAlign w:val="center"/>
          </w:tcPr>
          <w:p w:rsidR="005167BD" w:rsidRPr="00142103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142103">
              <w:rPr>
                <w:rFonts w:cs="Arial"/>
                <w:b/>
                <w:sz w:val="20"/>
                <w:szCs w:val="20"/>
              </w:rPr>
              <w:t>2015 год</w:t>
            </w:r>
          </w:p>
        </w:tc>
      </w:tr>
      <w:tr w:rsidR="005167BD" w:rsidRPr="003255E9" w:rsidTr="005167BD">
        <w:tc>
          <w:tcPr>
            <w:cnfStyle w:val="001000000000"/>
            <w:tcW w:w="271" w:type="pct"/>
            <w:vMerge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36" w:type="pct"/>
            <w:vMerge/>
            <w:tcBorders>
              <w:bottom w:val="triple" w:sz="2" w:space="0" w:color="5F497A" w:themeColor="accent4" w:themeShade="BF"/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triple" w:sz="2" w:space="0" w:color="5F497A" w:themeColor="accent4" w:themeShade="BF"/>
              <w:left w:val="triple" w:sz="2" w:space="0" w:color="5F497A" w:themeColor="accent4" w:themeShade="BF"/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Да</w:t>
            </w:r>
          </w:p>
        </w:tc>
        <w:tc>
          <w:tcPr>
            <w:tcW w:w="441" w:type="pct"/>
            <w:tcBorders>
              <w:top w:val="triple" w:sz="2" w:space="0" w:color="5F497A" w:themeColor="accent4" w:themeShade="BF"/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 совсем</w:t>
            </w:r>
          </w:p>
        </w:tc>
        <w:tc>
          <w:tcPr>
            <w:tcW w:w="296" w:type="pct"/>
            <w:tcBorders>
              <w:top w:val="triple" w:sz="2" w:space="0" w:color="5F497A" w:themeColor="accent4" w:themeShade="BF"/>
              <w:bottom w:val="triple" w:sz="2" w:space="0" w:color="5F497A" w:themeColor="accent4" w:themeShade="BF"/>
              <w:righ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Нет</w:t>
            </w:r>
          </w:p>
        </w:tc>
        <w:tc>
          <w:tcPr>
            <w:tcW w:w="346" w:type="pct"/>
            <w:tcBorders>
              <w:left w:val="triple" w:sz="2" w:space="0" w:color="5F497A" w:themeColor="accent4" w:themeShade="BF"/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Да</w:t>
            </w:r>
          </w:p>
        </w:tc>
        <w:tc>
          <w:tcPr>
            <w:tcW w:w="441" w:type="pct"/>
            <w:tcBorders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 совсем</w:t>
            </w:r>
          </w:p>
        </w:tc>
        <w:tc>
          <w:tcPr>
            <w:tcW w:w="393" w:type="pct"/>
            <w:tcBorders>
              <w:top w:val="triple" w:sz="2" w:space="0" w:color="5F497A" w:themeColor="accent4" w:themeShade="BF"/>
              <w:bottom w:val="triple" w:sz="2" w:space="0" w:color="5F497A" w:themeColor="accent4" w:themeShade="BF"/>
              <w:right w:val="triple" w:sz="6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Нет</w:t>
            </w:r>
          </w:p>
        </w:tc>
        <w:tc>
          <w:tcPr>
            <w:tcW w:w="345" w:type="pct"/>
            <w:tcBorders>
              <w:left w:val="triple" w:sz="6" w:space="0" w:color="5F497A" w:themeColor="accent4" w:themeShade="BF"/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Да</w:t>
            </w:r>
          </w:p>
        </w:tc>
        <w:tc>
          <w:tcPr>
            <w:tcW w:w="452" w:type="pct"/>
            <w:gridSpan w:val="2"/>
            <w:tcBorders>
              <w:top w:val="triple" w:sz="2" w:space="0" w:color="5F497A" w:themeColor="accent4" w:themeShade="BF"/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 совсем</w:t>
            </w:r>
          </w:p>
        </w:tc>
        <w:tc>
          <w:tcPr>
            <w:tcW w:w="311" w:type="pct"/>
            <w:tcBorders>
              <w:bottom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Нет</w:t>
            </w:r>
          </w:p>
        </w:tc>
      </w:tr>
      <w:tr w:rsidR="005167BD" w:rsidRPr="003255E9" w:rsidTr="005167BD">
        <w:trPr>
          <w:cnfStyle w:val="000000100000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1336" w:type="pct"/>
            <w:tcBorders>
              <w:top w:val="triple" w:sz="2" w:space="0" w:color="5F497A" w:themeColor="accent4" w:themeShade="BF"/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Содержание учебных дисциплин</w:t>
            </w:r>
          </w:p>
        </w:tc>
        <w:tc>
          <w:tcPr>
            <w:tcW w:w="368" w:type="pct"/>
            <w:tcBorders>
              <w:top w:val="triple" w:sz="2" w:space="0" w:color="5F497A" w:themeColor="accent4" w:themeShade="BF"/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58</w:t>
            </w:r>
            <w:r>
              <w:rPr>
                <w:rFonts w:cs="Arial"/>
                <w:b/>
                <w:sz w:val="18"/>
                <w:szCs w:val="18"/>
              </w:rPr>
              <w:t>,7</w:t>
            </w:r>
          </w:p>
        </w:tc>
        <w:tc>
          <w:tcPr>
            <w:tcW w:w="441" w:type="pct"/>
            <w:tcBorders>
              <w:top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34</w:t>
            </w:r>
            <w:r>
              <w:rPr>
                <w:rFonts w:cs="Arial"/>
                <w:b/>
                <w:sz w:val="18"/>
                <w:szCs w:val="18"/>
              </w:rPr>
              <w:t>,1</w:t>
            </w:r>
          </w:p>
        </w:tc>
        <w:tc>
          <w:tcPr>
            <w:tcW w:w="296" w:type="pct"/>
            <w:tcBorders>
              <w:top w:val="triple" w:sz="2" w:space="0" w:color="5F497A" w:themeColor="accent4" w:themeShade="BF"/>
              <w:righ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7</w:t>
            </w:r>
            <w:r>
              <w:rPr>
                <w:rFonts w:cs="Arial"/>
                <w:b/>
                <w:sz w:val="18"/>
                <w:szCs w:val="18"/>
              </w:rPr>
              <w:t>,2</w:t>
            </w:r>
          </w:p>
        </w:tc>
        <w:tc>
          <w:tcPr>
            <w:tcW w:w="346" w:type="pct"/>
            <w:tcBorders>
              <w:top w:val="triple" w:sz="2" w:space="0" w:color="5F497A" w:themeColor="accent4" w:themeShade="BF"/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69,7</w:t>
            </w:r>
          </w:p>
        </w:tc>
        <w:tc>
          <w:tcPr>
            <w:tcW w:w="441" w:type="pct"/>
            <w:tcBorders>
              <w:top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26,9</w:t>
            </w:r>
          </w:p>
        </w:tc>
        <w:tc>
          <w:tcPr>
            <w:tcW w:w="393" w:type="pct"/>
            <w:tcBorders>
              <w:top w:val="triple" w:sz="2" w:space="0" w:color="5F497A" w:themeColor="accent4" w:themeShade="BF"/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3,4</w:t>
            </w:r>
          </w:p>
        </w:tc>
        <w:tc>
          <w:tcPr>
            <w:tcW w:w="354" w:type="pct"/>
            <w:gridSpan w:val="2"/>
            <w:tcBorders>
              <w:top w:val="triple" w:sz="2" w:space="0" w:color="5F497A" w:themeColor="accent4" w:themeShade="BF"/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58,6</w:t>
            </w:r>
          </w:p>
        </w:tc>
        <w:tc>
          <w:tcPr>
            <w:tcW w:w="443" w:type="pct"/>
            <w:tcBorders>
              <w:top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34,7</w:t>
            </w:r>
          </w:p>
        </w:tc>
        <w:tc>
          <w:tcPr>
            <w:tcW w:w="311" w:type="pct"/>
            <w:tcBorders>
              <w:top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6,8</w:t>
            </w:r>
          </w:p>
        </w:tc>
      </w:tr>
      <w:tr w:rsidR="005167BD" w:rsidRPr="003255E9" w:rsidTr="005167BD">
        <w:trPr>
          <w:trHeight w:val="397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Объём учебной нагрузки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2,9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33</w:t>
            </w:r>
            <w:r>
              <w:rPr>
                <w:rFonts w:cs="Arial"/>
                <w:b/>
                <w:sz w:val="18"/>
                <w:szCs w:val="18"/>
              </w:rPr>
              <w:t>,2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3,9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54,2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31,9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13,9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50,1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33,1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16,8</w:t>
            </w:r>
          </w:p>
        </w:tc>
      </w:tr>
      <w:tr w:rsidR="005167BD" w:rsidRPr="003255E9" w:rsidTr="005167BD">
        <w:trPr>
          <w:cnfStyle w:val="000000100000"/>
          <w:trHeight w:val="442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Набор читаемых курсов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2,9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33</w:t>
            </w:r>
            <w:r>
              <w:rPr>
                <w:rFonts w:cs="Arial"/>
                <w:b/>
                <w:sz w:val="18"/>
                <w:szCs w:val="18"/>
              </w:rPr>
              <w:t>,2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3,9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62,2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28,4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9,4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49,6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34,1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16,3</w:t>
            </w:r>
          </w:p>
        </w:tc>
      </w:tr>
      <w:tr w:rsidR="005167BD" w:rsidRPr="003255E9" w:rsidTr="005167BD">
        <w:trPr>
          <w:trHeight w:val="405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Качество преподавания</w:t>
            </w:r>
            <w:r>
              <w:rPr>
                <w:rFonts w:cs="Arial"/>
                <w:b/>
                <w:sz w:val="18"/>
                <w:szCs w:val="18"/>
              </w:rPr>
              <w:t xml:space="preserve"> отдельных дисциплин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>8,9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>3,9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7</w:t>
            </w:r>
            <w:r>
              <w:rPr>
                <w:rFonts w:cs="Arial"/>
                <w:b/>
                <w:sz w:val="18"/>
                <w:szCs w:val="18"/>
              </w:rPr>
              <w:t>,2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57,4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32,8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9,9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46,1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37,8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16,1</w:t>
            </w:r>
          </w:p>
        </w:tc>
      </w:tr>
      <w:tr w:rsidR="005167BD" w:rsidRPr="003255E9" w:rsidTr="005167BD">
        <w:trPr>
          <w:cnfStyle w:val="000000100000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Объективность преподавателей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3,6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>4,8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21</w:t>
            </w:r>
            <w:r>
              <w:rPr>
                <w:rFonts w:cs="Arial"/>
                <w:b/>
                <w:sz w:val="18"/>
                <w:szCs w:val="18"/>
              </w:rPr>
              <w:t>,5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48,7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38,6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12,7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51,3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33,2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15,5</w:t>
            </w:r>
          </w:p>
        </w:tc>
      </w:tr>
      <w:tr w:rsidR="005167BD" w:rsidRPr="003255E9" w:rsidTr="005167BD"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Доступность учебно-методической литературы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4,7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30</w:t>
            </w:r>
            <w:r>
              <w:rPr>
                <w:rFonts w:cs="Arial"/>
                <w:b/>
                <w:sz w:val="18"/>
                <w:szCs w:val="18"/>
              </w:rPr>
              <w:t>,5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>4,8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41,2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29,5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29,3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43,9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33,2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0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22,9</w:t>
            </w:r>
          </w:p>
        </w:tc>
      </w:tr>
      <w:tr w:rsidR="005167BD" w:rsidRPr="003255E9" w:rsidTr="005167BD">
        <w:trPr>
          <w:cnfStyle w:val="000000100000"/>
        </w:trPr>
        <w:tc>
          <w:tcPr>
            <w:cnfStyle w:val="001000000000"/>
            <w:tcW w:w="271" w:type="pct"/>
            <w:shd w:val="clear" w:color="auto" w:fill="B2A1C7" w:themeFill="accent4" w:themeFillTint="99"/>
            <w:vAlign w:val="center"/>
          </w:tcPr>
          <w:p w:rsidR="005167BD" w:rsidRPr="00CD78C3" w:rsidRDefault="005167BD" w:rsidP="005167BD">
            <w:pPr>
              <w:spacing w:line="276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D78C3">
              <w:rPr>
                <w:rFonts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1336" w:type="pct"/>
            <w:tcBorders>
              <w:right w:val="triple" w:sz="2" w:space="0" w:color="5F497A" w:themeColor="accent4" w:themeShade="BF"/>
            </w:tcBorders>
            <w:shd w:val="clear" w:color="auto" w:fill="BAABCD"/>
            <w:vAlign w:val="center"/>
          </w:tcPr>
          <w:p w:rsidR="005167BD" w:rsidRPr="003255E9" w:rsidRDefault="005167BD" w:rsidP="005167BD">
            <w:pPr>
              <w:spacing w:line="276" w:lineRule="auto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Использование технических средств обучения</w:t>
            </w:r>
          </w:p>
        </w:tc>
        <w:tc>
          <w:tcPr>
            <w:tcW w:w="368" w:type="pct"/>
            <w:tcBorders>
              <w:left w:val="triple" w:sz="2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17</w:t>
            </w:r>
            <w:r>
              <w:rPr>
                <w:rFonts w:cs="Arial"/>
                <w:b/>
                <w:sz w:val="18"/>
                <w:szCs w:val="18"/>
              </w:rPr>
              <w:t>,5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7,8</w:t>
            </w:r>
          </w:p>
        </w:tc>
        <w:tc>
          <w:tcPr>
            <w:tcW w:w="296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4,7</w:t>
            </w:r>
          </w:p>
        </w:tc>
        <w:tc>
          <w:tcPr>
            <w:tcW w:w="346" w:type="pct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34,1</w:t>
            </w:r>
          </w:p>
        </w:tc>
        <w:tc>
          <w:tcPr>
            <w:tcW w:w="44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27,9</w:t>
            </w:r>
          </w:p>
        </w:tc>
        <w:tc>
          <w:tcPr>
            <w:tcW w:w="393" w:type="pct"/>
            <w:tcBorders>
              <w:righ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38</w:t>
            </w:r>
          </w:p>
        </w:tc>
        <w:tc>
          <w:tcPr>
            <w:tcW w:w="354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69,4</w:t>
            </w:r>
          </w:p>
        </w:tc>
        <w:tc>
          <w:tcPr>
            <w:tcW w:w="443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19,9</w:t>
            </w:r>
          </w:p>
        </w:tc>
        <w:tc>
          <w:tcPr>
            <w:tcW w:w="311" w:type="pct"/>
            <w:vAlign w:val="center"/>
          </w:tcPr>
          <w:p w:rsidR="005167BD" w:rsidRPr="003255E9" w:rsidRDefault="005167BD" w:rsidP="005167BD">
            <w:pPr>
              <w:spacing w:line="276" w:lineRule="auto"/>
              <w:jc w:val="center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3255E9">
              <w:rPr>
                <w:rFonts w:cs="Arial"/>
                <w:b/>
                <w:sz w:val="18"/>
                <w:szCs w:val="18"/>
              </w:rPr>
              <w:t>10,6</w:t>
            </w:r>
          </w:p>
        </w:tc>
      </w:tr>
    </w:tbl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4"/>
        <w:tblpPr w:leftFromText="180" w:rightFromText="180" w:vertAnchor="text" w:horzAnchor="margin" w:tblpY="285"/>
        <w:tblW w:w="9606" w:type="dxa"/>
        <w:tblLook w:val="04A0"/>
      </w:tblPr>
      <w:tblGrid>
        <w:gridCol w:w="500"/>
        <w:gridCol w:w="4738"/>
        <w:gridCol w:w="1391"/>
        <w:gridCol w:w="1417"/>
        <w:gridCol w:w="1560"/>
      </w:tblGrid>
      <w:tr w:rsidR="005167BD" w:rsidRPr="00346F67" w:rsidTr="005167BD">
        <w:trPr>
          <w:cnfStyle w:val="100000000000"/>
          <w:trHeight w:val="340"/>
        </w:trPr>
        <w:tc>
          <w:tcPr>
            <w:cnfStyle w:val="001000000000"/>
            <w:tcW w:w="9606" w:type="dxa"/>
            <w:gridSpan w:val="5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Таблица. </w:t>
            </w:r>
            <w:r w:rsidRPr="005167BD">
              <w:rPr>
                <w:rFonts w:asciiTheme="majorHAnsi" w:eastAsia="Times New Roman" w:hAnsiTheme="majorHAnsi" w:cs="Times New Roman"/>
                <w:lang w:eastAsia="ru-RU"/>
              </w:rPr>
              <w:t>2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. </w:t>
            </w:r>
            <w:r w:rsidRPr="00F7357F">
              <w:rPr>
                <w:rFonts w:asciiTheme="majorHAnsi" w:eastAsia="Times New Roman" w:hAnsiTheme="majorHAnsi" w:cs="Times New Roman"/>
                <w:lang w:eastAsia="ru-RU"/>
              </w:rPr>
              <w:t>Причины пропуска занятий студентами (динамика показателей),%</w:t>
            </w:r>
          </w:p>
        </w:tc>
      </w:tr>
      <w:tr w:rsidR="005167BD" w:rsidRPr="00346F67" w:rsidTr="005167BD">
        <w:trPr>
          <w:cnfStyle w:val="000000100000"/>
          <w:trHeight w:val="25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rPr>
                <w:rFonts w:eastAsia="Times New Roman" w:cs="Times New Roman"/>
                <w:lang w:eastAsia="ru-RU"/>
              </w:rPr>
            </w:pPr>
            <w:r w:rsidRPr="00F7357F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lang w:eastAsia="ru-RU"/>
              </w:rPr>
            </w:pPr>
            <w:r w:rsidRPr="00F7357F">
              <w:rPr>
                <w:rFonts w:eastAsia="Times New Roman" w:cs="Times New Roman"/>
                <w:b/>
                <w:lang w:eastAsia="ru-RU"/>
              </w:rPr>
              <w:t>Варианты ответов: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lang w:eastAsia="ru-RU"/>
              </w:rPr>
            </w:pPr>
            <w:r w:rsidRPr="00F7357F">
              <w:rPr>
                <w:rFonts w:eastAsia="Times New Roman" w:cs="Times New Roman"/>
                <w:b/>
                <w:lang w:eastAsia="ru-RU"/>
              </w:rPr>
              <w:t>2008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lang w:eastAsia="ru-RU"/>
              </w:rPr>
            </w:pPr>
            <w:r w:rsidRPr="00F7357F">
              <w:rPr>
                <w:rFonts w:eastAsia="Times New Roman" w:cs="Times New Roman"/>
                <w:b/>
                <w:lang w:eastAsia="ru-RU"/>
              </w:rPr>
              <w:t>2011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lang w:eastAsia="ru-RU"/>
              </w:rPr>
            </w:pPr>
            <w:r w:rsidRPr="00F7357F">
              <w:rPr>
                <w:rFonts w:eastAsia="Times New Roman" w:cs="Times New Roman"/>
                <w:b/>
                <w:lang w:eastAsia="ru-RU"/>
              </w:rPr>
              <w:t>2015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Неудовлетворительное состояние здоровья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52,7</w:t>
            </w:r>
          </w:p>
        </w:tc>
      </w:tr>
      <w:tr w:rsidR="005167BD" w:rsidRPr="00346F67" w:rsidTr="005167BD">
        <w:trPr>
          <w:cnfStyle w:val="000000100000"/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Неудобство расписания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22,8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 нравится предмет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5167BD" w:rsidRPr="00346F67" w:rsidTr="005167BD">
        <w:trPr>
          <w:cnfStyle w:val="000000100000"/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 устраивает качество преподавания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21,3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 не пропускаю занятий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5167BD" w:rsidRPr="00346F67" w:rsidTr="005167BD">
        <w:trPr>
          <w:cnfStyle w:val="000000100000"/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Семейные обстоятельства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Периодически не хочется учиться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13,8</w:t>
            </w:r>
          </w:p>
        </w:tc>
      </w:tr>
      <w:tr w:rsidR="005167BD" w:rsidRPr="00346F67" w:rsidTr="005167BD">
        <w:trPr>
          <w:cnfStyle w:val="000000100000"/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Лояльность преподавателя к пропускам занятий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5,9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Необходимость присутствия на работе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</w:tr>
      <w:tr w:rsidR="005167BD" w:rsidRPr="00346F67" w:rsidTr="005167BD">
        <w:trPr>
          <w:cnfStyle w:val="000000100000"/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Без какой-либо причины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1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</w:tr>
      <w:tr w:rsidR="005167BD" w:rsidRPr="00346F67" w:rsidTr="005167BD">
        <w:trPr>
          <w:trHeight w:val="285"/>
        </w:trPr>
        <w:tc>
          <w:tcPr>
            <w:cnfStyle w:val="001000000000"/>
            <w:tcW w:w="0" w:type="auto"/>
          </w:tcPr>
          <w:p w:rsidR="005167BD" w:rsidRPr="00F7357F" w:rsidRDefault="005167BD" w:rsidP="005167B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F7357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38" w:type="dxa"/>
            <w:noWrap/>
            <w:hideMark/>
          </w:tcPr>
          <w:p w:rsidR="005167BD" w:rsidRPr="00F7357F" w:rsidRDefault="005167BD" w:rsidP="005167BD">
            <w:pPr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391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7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60" w:type="dxa"/>
            <w:noWrap/>
            <w:hideMark/>
          </w:tcPr>
          <w:p w:rsidR="005167BD" w:rsidRPr="00F7357F" w:rsidRDefault="005167BD" w:rsidP="005167BD">
            <w:pPr>
              <w:jc w:val="center"/>
              <w:cnfStyle w:val="0000000000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357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</w:tr>
    </w:tbl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67BD" w:rsidRDefault="005167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67BD" w:rsidRDefault="005167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64AF" w:rsidRDefault="005167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-7620</wp:posOffset>
            </wp:positionV>
            <wp:extent cx="6304915" cy="4316730"/>
            <wp:effectExtent l="0" t="0" r="0" b="0"/>
            <wp:wrapThrough wrapText="bothSides">
              <wp:wrapPolygon edited="0">
                <wp:start x="1697" y="1811"/>
                <wp:lineTo x="1697" y="2288"/>
                <wp:lineTo x="8158" y="3336"/>
                <wp:lineTo x="718" y="3527"/>
                <wp:lineTo x="718" y="4385"/>
                <wp:lineTo x="10442" y="4861"/>
                <wp:lineTo x="1044" y="5433"/>
                <wp:lineTo x="979" y="6005"/>
                <wp:lineTo x="4895" y="6387"/>
                <wp:lineTo x="2088" y="7435"/>
                <wp:lineTo x="2154" y="7912"/>
                <wp:lineTo x="5156" y="7912"/>
                <wp:lineTo x="5156" y="8388"/>
                <wp:lineTo x="10377" y="9437"/>
                <wp:lineTo x="2806" y="9437"/>
                <wp:lineTo x="2806" y="9914"/>
                <wp:lineTo x="10377" y="10962"/>
                <wp:lineTo x="392" y="11343"/>
                <wp:lineTo x="392" y="11820"/>
                <wp:lineTo x="10442" y="12487"/>
                <wp:lineTo x="783" y="12868"/>
                <wp:lineTo x="783" y="14012"/>
                <wp:lineTo x="10377" y="14012"/>
                <wp:lineTo x="1044" y="15061"/>
                <wp:lineTo x="979" y="15538"/>
                <wp:lineTo x="3067" y="15538"/>
                <wp:lineTo x="3067" y="15633"/>
                <wp:lineTo x="3459" y="17063"/>
                <wp:lineTo x="3459" y="17444"/>
                <wp:lineTo x="8811" y="18588"/>
                <wp:lineTo x="8941" y="19732"/>
                <wp:lineTo x="10768" y="20113"/>
                <wp:lineTo x="10442" y="20590"/>
                <wp:lineTo x="10312" y="20971"/>
                <wp:lineTo x="21080" y="20971"/>
                <wp:lineTo x="21276" y="20494"/>
                <wp:lineTo x="20232" y="20494"/>
                <wp:lineTo x="11160" y="20113"/>
                <wp:lineTo x="12465" y="18874"/>
                <wp:lineTo x="12465" y="18588"/>
                <wp:lineTo x="12400" y="17730"/>
                <wp:lineTo x="12204" y="17063"/>
                <wp:lineTo x="12531" y="17063"/>
                <wp:lineTo x="13183" y="16014"/>
                <wp:lineTo x="13118" y="15538"/>
                <wp:lineTo x="13901" y="15061"/>
                <wp:lineTo x="13901" y="14775"/>
                <wp:lineTo x="13118" y="14012"/>
                <wp:lineTo x="16316" y="13822"/>
                <wp:lineTo x="16316" y="13250"/>
                <wp:lineTo x="13118" y="12487"/>
                <wp:lineTo x="17230" y="11534"/>
                <wp:lineTo x="17425" y="10962"/>
                <wp:lineTo x="16381" y="10962"/>
                <wp:lineTo x="19514" y="10295"/>
                <wp:lineTo x="19448" y="9818"/>
                <wp:lineTo x="15533" y="9437"/>
                <wp:lineTo x="18861" y="9437"/>
                <wp:lineTo x="19710" y="9151"/>
                <wp:lineTo x="19710" y="7626"/>
                <wp:lineTo x="14945" y="6387"/>
                <wp:lineTo x="15598" y="6291"/>
                <wp:lineTo x="15924" y="5624"/>
                <wp:lineTo x="15663" y="4861"/>
                <wp:lineTo x="18404" y="4385"/>
                <wp:lineTo x="18208" y="3813"/>
                <wp:lineTo x="10768" y="3336"/>
                <wp:lineTo x="19187" y="3336"/>
                <wp:lineTo x="19122" y="1906"/>
                <wp:lineTo x="6265" y="1811"/>
                <wp:lineTo x="1697" y="1811"/>
              </wp:wrapPolygon>
            </wp:wrapThrough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9964AF" w:rsidRDefault="009964AF" w:rsidP="00996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Рис.5. Предложения студентов по повышению качества обучения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9964AF" w:rsidRDefault="009964AF">
      <w:pPr>
        <w:rPr>
          <w:rFonts w:ascii="Times New Roman" w:hAnsi="Times New Roman" w:cs="Times New Roman"/>
          <w:b/>
          <w:sz w:val="24"/>
          <w:szCs w:val="24"/>
        </w:rPr>
      </w:pPr>
    </w:p>
    <w:p w:rsidR="005167BD" w:rsidRDefault="005167BD" w:rsidP="005167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Рис.5. Предложения студентов по повышению качества обучения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360148" w:rsidRPr="008C272A" w:rsidRDefault="00360148">
      <w:pPr>
        <w:rPr>
          <w:rFonts w:ascii="Times New Roman" w:hAnsi="Times New Roman" w:cs="Times New Roman"/>
          <w:b/>
          <w:sz w:val="24"/>
          <w:szCs w:val="24"/>
        </w:rPr>
      </w:pPr>
    </w:p>
    <w:sectPr w:rsidR="00360148" w:rsidRPr="008C272A" w:rsidSect="0030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72A"/>
    <w:rsid w:val="000B5FA2"/>
    <w:rsid w:val="000B680A"/>
    <w:rsid w:val="00214EBD"/>
    <w:rsid w:val="0030318B"/>
    <w:rsid w:val="00360148"/>
    <w:rsid w:val="005167BD"/>
    <w:rsid w:val="008C272A"/>
    <w:rsid w:val="009964AF"/>
    <w:rsid w:val="00A9196B"/>
    <w:rsid w:val="00A97BF6"/>
    <w:rsid w:val="00F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link w:val="a3"/>
    <w:qFormat/>
    <w:rsid w:val="008C27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a3">
    <w:name w:val="Обычный Знак"/>
    <w:basedOn w:val="a0"/>
    <w:link w:val="1"/>
    <w:rsid w:val="008C272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E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7A"/>
    <w:rPr>
      <w:rFonts w:ascii="Tahoma" w:hAnsi="Tahoma" w:cs="Tahoma"/>
      <w:sz w:val="16"/>
      <w:szCs w:val="16"/>
    </w:rPr>
  </w:style>
  <w:style w:type="table" w:styleId="3-4">
    <w:name w:val="Medium Grid 3 Accent 4"/>
    <w:basedOn w:val="a1"/>
    <w:uiPriority w:val="69"/>
    <w:rsid w:val="00360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4">
    <w:name w:val="Medium Grid 1 Accent 4"/>
    <w:basedOn w:val="a1"/>
    <w:uiPriority w:val="67"/>
    <w:rsid w:val="00360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_vasenina\&#1064;&#1072;&#1073;&#1083;&#1086;&#1085;&#1099;\excel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_sharonova\&#1064;&#1072;&#1088;&#1086;&#1085;&#1086;&#1074;&#1072;\&#1050;&#1072;&#1095;&#1077;&#1089;&#1090;&#1074;&#1086;_2015_28\excel4&#1050;&#1072;&#1095;&#1077;&#1089;&#1090;&#1074;&#1086;%20&#1086;&#1073;&#1088;&#1072;&#1079;&#1086;&#1074;&#1072;&#1085;&#1080;&#1103;_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_sharonova\&#1064;&#1072;&#1088;&#1086;&#1085;&#1086;&#1074;&#1072;\&#1050;&#1072;&#1095;&#1077;&#1089;&#1090;&#1074;&#1086;_2015_28\excel4&#1050;&#1072;&#1095;&#1077;&#1089;&#1090;&#1074;&#1086;%20&#1086;&#1073;&#1088;&#1072;&#1079;&#1086;&#1074;&#1072;&#1085;&#1080;&#1103;_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3;&#1080;&#1089;&#1072;_1_&#1040;&#1083;&#1103;\&#1050;&#1072;&#1095;&#1077;&#1089;&#1090;&#1074;&#1086;_2015_28\excel4&#1050;&#1072;&#1095;&#1077;&#1089;&#1090;&#1074;&#1086;%20&#1086;&#1073;&#1088;&#1072;&#1079;&#1086;&#1074;&#1072;&#1085;&#1080;&#1103;_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3;&#1080;&#1089;&#1072;_1_&#1040;&#1083;&#1103;\&#1050;&#1072;&#1095;&#1077;&#1089;&#1090;&#1074;&#1086;_2015_28\excel4&#1050;&#1072;&#1095;&#1077;&#1089;&#1090;&#1074;&#1086;%20&#1086;&#1073;&#1088;&#1072;&#1079;&#1086;&#1074;&#1072;&#1085;&#1080;&#1103;_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43443608509975939"/>
          <c:y val="4.8504203472027906E-2"/>
          <c:w val="0.51278059761510952"/>
          <c:h val="0.88363910094994458"/>
        </c:manualLayout>
      </c:layout>
      <c:barChart>
        <c:barDir val="bar"/>
        <c:grouping val="clustered"/>
        <c:ser>
          <c:idx val="0"/>
          <c:order val="0"/>
          <c:tx>
            <c:strRef>
              <c:f>excel4!$C$28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57150"/>
            </a:sp3d>
          </c:spPr>
          <c:dLbls>
            <c:dLbl>
              <c:idx val="2"/>
              <c:layout>
                <c:manualLayout>
                  <c:x val="0"/>
                  <c:y val="1.429848078641644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9.0701900049720488E-17"/>
                  <c:y val="1.072386058981252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0701900049720488E-17"/>
                  <c:y val="1.0723860589812525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excel4!$B$29:$B$35</c:f>
              <c:strCache>
                <c:ptCount val="7"/>
                <c:pt idx="0">
                  <c:v>Другое</c:v>
                </c:pt>
                <c:pt idx="1">
                  <c:v>Возможность работать или учиться дальше за рубежом</c:v>
                </c:pt>
                <c:pt idx="2">
                  <c:v>Высокий уровень культуры</c:v>
                </c:pt>
                <c:pt idx="3">
                  <c:v>Престижную профессию</c:v>
                </c:pt>
                <c:pt idx="4">
                  <c:v>Престижный диплом</c:v>
                </c:pt>
                <c:pt idx="5">
                  <c:v>Возможность обучения и общения в высокоинтеллектуальной профессиональной среде</c:v>
                </c:pt>
                <c:pt idx="6">
                  <c:v>Возможность сделать хорошую карьеру</c:v>
                </c:pt>
              </c:strCache>
            </c:strRef>
          </c:cat>
          <c:val>
            <c:numRef>
              <c:f>excel4!$C$29:$C$35</c:f>
              <c:numCache>
                <c:formatCode>General</c:formatCode>
                <c:ptCount val="7"/>
                <c:pt idx="0">
                  <c:v>1.3</c:v>
                </c:pt>
                <c:pt idx="1">
                  <c:v>3</c:v>
                </c:pt>
                <c:pt idx="2">
                  <c:v>27.5</c:v>
                </c:pt>
                <c:pt idx="3">
                  <c:v>31.1</c:v>
                </c:pt>
                <c:pt idx="4">
                  <c:v>33.200000000000003</c:v>
                </c:pt>
                <c:pt idx="5">
                  <c:v>37.200000000000003</c:v>
                </c:pt>
                <c:pt idx="6">
                  <c:v>48.1</c:v>
                </c:pt>
              </c:numCache>
            </c:numRef>
          </c:val>
        </c:ser>
        <c:ser>
          <c:idx val="1"/>
          <c:order val="1"/>
          <c:tx>
            <c:strRef>
              <c:f>excel4!$D$28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A794BE"/>
            </a:soli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63500"/>
            </a:sp3d>
          </c:spPr>
          <c:dLbls>
            <c:dLbl>
              <c:idx val="2"/>
              <c:layout>
                <c:manualLayout>
                  <c:x val="4.9474335188620924E-3"/>
                  <c:y val="-7.149240393208354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4737167594311776E-3"/>
                  <c:y val="-1.4298480786416443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excel4!$B$29:$B$35</c:f>
              <c:strCache>
                <c:ptCount val="7"/>
                <c:pt idx="0">
                  <c:v>Другое</c:v>
                </c:pt>
                <c:pt idx="1">
                  <c:v>Возможность работать или учиться дальше за рубежом</c:v>
                </c:pt>
                <c:pt idx="2">
                  <c:v>Высокий уровень культуры</c:v>
                </c:pt>
                <c:pt idx="3">
                  <c:v>Престижную профессию</c:v>
                </c:pt>
                <c:pt idx="4">
                  <c:v>Престижный диплом</c:v>
                </c:pt>
                <c:pt idx="5">
                  <c:v>Возможность обучения и общения в высокоинтеллектуальной профессиональной среде</c:v>
                </c:pt>
                <c:pt idx="6">
                  <c:v>Возможность сделать хорошую карьеру</c:v>
                </c:pt>
              </c:strCache>
            </c:strRef>
          </c:cat>
          <c:val>
            <c:numRef>
              <c:f>excel4!$D$29:$D$35</c:f>
              <c:numCache>
                <c:formatCode>General</c:formatCode>
                <c:ptCount val="7"/>
                <c:pt idx="1">
                  <c:v>9.8000000000000007</c:v>
                </c:pt>
                <c:pt idx="2">
                  <c:v>22.8</c:v>
                </c:pt>
                <c:pt idx="3">
                  <c:v>29.6</c:v>
                </c:pt>
                <c:pt idx="4">
                  <c:v>25.3</c:v>
                </c:pt>
                <c:pt idx="5">
                  <c:v>32.800000000000004</c:v>
                </c:pt>
                <c:pt idx="6">
                  <c:v>51.1</c:v>
                </c:pt>
              </c:numCache>
            </c:numRef>
          </c:val>
        </c:ser>
        <c:ser>
          <c:idx val="2"/>
          <c:order val="2"/>
          <c:tx>
            <c:strRef>
              <c:f>excel4!$E$28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93C9"/>
            </a:soli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63500"/>
            </a:sp3d>
          </c:spPr>
          <c:dLbls>
            <c:dLbl>
              <c:idx val="1"/>
              <c:layout>
                <c:manualLayout>
                  <c:x val="-2.4737167594310917E-3"/>
                  <c:y val="-1.429848078641644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0701900049720488E-17"/>
                  <c:y val="-1.072386058981252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9.0701900049720488E-17"/>
                  <c:y val="-3.574620196604112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4737167594310054E-3"/>
                  <c:y val="-1.4298480786416443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excel4!$B$29:$B$35</c:f>
              <c:strCache>
                <c:ptCount val="7"/>
                <c:pt idx="0">
                  <c:v>Другое</c:v>
                </c:pt>
                <c:pt idx="1">
                  <c:v>Возможность работать или учиться дальше за рубежом</c:v>
                </c:pt>
                <c:pt idx="2">
                  <c:v>Высокий уровень культуры</c:v>
                </c:pt>
                <c:pt idx="3">
                  <c:v>Престижную профессию</c:v>
                </c:pt>
                <c:pt idx="4">
                  <c:v>Престижный диплом</c:v>
                </c:pt>
                <c:pt idx="5">
                  <c:v>Возможность обучения и общения в высокоинтеллектуальной профессиональной среде</c:v>
                </c:pt>
                <c:pt idx="6">
                  <c:v>Возможность сделать хорошую карьеру</c:v>
                </c:pt>
              </c:strCache>
            </c:strRef>
          </c:cat>
          <c:val>
            <c:numRef>
              <c:f>excel4!$E$29:$E$35</c:f>
              <c:numCache>
                <c:formatCode>General</c:formatCode>
                <c:ptCount val="7"/>
                <c:pt idx="1">
                  <c:v>4.5</c:v>
                </c:pt>
                <c:pt idx="2">
                  <c:v>25.2</c:v>
                </c:pt>
                <c:pt idx="3">
                  <c:v>40.5</c:v>
                </c:pt>
                <c:pt idx="4">
                  <c:v>37.4</c:v>
                </c:pt>
                <c:pt idx="6">
                  <c:v>48.6</c:v>
                </c:pt>
              </c:numCache>
            </c:numRef>
          </c:val>
        </c:ser>
        <c:dLbls>
          <c:showVal val="1"/>
        </c:dLbls>
        <c:axId val="63489152"/>
        <c:axId val="63491072"/>
      </c:barChart>
      <c:catAx>
        <c:axId val="63489152"/>
        <c:scaling>
          <c:orientation val="minMax"/>
        </c:scaling>
        <c:axPos val="l"/>
        <c:tickLblPos val="nextTo"/>
        <c:crossAx val="63491072"/>
        <c:crosses val="autoZero"/>
        <c:auto val="1"/>
        <c:lblAlgn val="ctr"/>
        <c:lblOffset val="100"/>
      </c:catAx>
      <c:valAx>
        <c:axId val="63491072"/>
        <c:scaling>
          <c:orientation val="minMax"/>
        </c:scaling>
        <c:axPos val="b"/>
        <c:numFmt formatCode="General" sourceLinked="1"/>
        <c:tickLblPos val="nextTo"/>
        <c:crossAx val="6348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92272556839565"/>
          <c:y val="0.31010055378467216"/>
          <c:w val="9.218178896469105E-2"/>
          <c:h val="0.19391864220725796"/>
        </c:manualLayout>
      </c:layout>
    </c:legend>
    <c:plotVisOnly val="1"/>
  </c:chart>
  <c:spPr>
    <a:ln>
      <a:noFill/>
    </a:ln>
  </c:spPr>
  <c:txPr>
    <a:bodyPr/>
    <a:lstStyle/>
    <a:p>
      <a:pPr>
        <a:defRPr sz="800" b="1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48964089506386993"/>
          <c:y val="4.9770532693431728E-2"/>
          <c:w val="0.45583681643785623"/>
          <c:h val="0.81782897303978608"/>
        </c:manualLayout>
      </c:layout>
      <c:barChart>
        <c:barDir val="bar"/>
        <c:grouping val="clustered"/>
        <c:ser>
          <c:idx val="0"/>
          <c:order val="0"/>
          <c:tx>
            <c:strRef>
              <c:f>Лист4!$D$6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57150"/>
            </a:sp3d>
          </c:spPr>
          <c:dLbls>
            <c:dLbl>
              <c:idx val="0"/>
              <c:layout>
                <c:manualLayout>
                  <c:x val="0"/>
                  <c:y val="7.839506172839511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7.839506172839419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7.839506172839511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7.8395061728395114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7.8395061728395114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5.226337448559690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-5.2263374485596904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3432923257176402E-3"/>
                  <c:y val="5.22633744855969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Лист4!$C$7:$C$15</c:f>
              <c:strCache>
                <c:ptCount val="9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Научная работа</c:v>
                </c:pt>
                <c:pt idx="3">
                  <c:v>Политическая деятельность</c:v>
                </c:pt>
                <c:pt idx="4">
                  <c:v>Обучение за рубежом</c:v>
                </c:pt>
                <c:pt idx="5">
                  <c:v>Преподавательская деятельность</c:v>
                </c:pt>
                <c:pt idx="6">
                  <c:v>Государственная служба</c:v>
                </c:pt>
                <c:pt idx="7">
                  <c:v>Получение второго высшего образования, поступление в магистратуру, аспирантуру </c:v>
                </c:pt>
                <c:pt idx="8">
                  <c:v>Бизнес-карьера</c:v>
                </c:pt>
              </c:strCache>
            </c:strRef>
          </c:cat>
          <c:val>
            <c:numRef>
              <c:f>Лист4!$D$7:$D$15</c:f>
              <c:numCache>
                <c:formatCode>General</c:formatCode>
                <c:ptCount val="9"/>
                <c:pt idx="0">
                  <c:v>0.60000000000000064</c:v>
                </c:pt>
                <c:pt idx="1">
                  <c:v>2.4</c:v>
                </c:pt>
                <c:pt idx="2">
                  <c:v>9.8000000000000007</c:v>
                </c:pt>
                <c:pt idx="3">
                  <c:v>10.1</c:v>
                </c:pt>
                <c:pt idx="4">
                  <c:v>10.1</c:v>
                </c:pt>
                <c:pt idx="5">
                  <c:v>12.7</c:v>
                </c:pt>
                <c:pt idx="6">
                  <c:v>32.5</c:v>
                </c:pt>
                <c:pt idx="7">
                  <c:v>34.700000000000003</c:v>
                </c:pt>
                <c:pt idx="8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Лист4!$E$6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57150"/>
            </a:sp3d>
          </c:spPr>
          <c:dLbls>
            <c:dLbl>
              <c:idx val="6"/>
              <c:layout>
                <c:manualLayout>
                  <c:x val="0"/>
                  <c:y val="-7.839506172839511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-7.839506172839511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Лист4!$C$7:$C$15</c:f>
              <c:strCache>
                <c:ptCount val="9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Научная работа</c:v>
                </c:pt>
                <c:pt idx="3">
                  <c:v>Политическая деятельность</c:v>
                </c:pt>
                <c:pt idx="4">
                  <c:v>Обучение за рубежом</c:v>
                </c:pt>
                <c:pt idx="5">
                  <c:v>Преподавательская деятельность</c:v>
                </c:pt>
                <c:pt idx="6">
                  <c:v>Государственная служба</c:v>
                </c:pt>
                <c:pt idx="7">
                  <c:v>Получение второго высшего образования, поступление в магистратуру, аспирантуру </c:v>
                </c:pt>
                <c:pt idx="8">
                  <c:v>Бизнес-карьера</c:v>
                </c:pt>
              </c:strCache>
            </c:strRef>
          </c:cat>
          <c:val>
            <c:numRef>
              <c:f>Лист4!$E$7:$E$15</c:f>
              <c:numCache>
                <c:formatCode>General</c:formatCode>
                <c:ptCount val="9"/>
                <c:pt idx="0">
                  <c:v>2.8</c:v>
                </c:pt>
                <c:pt idx="1">
                  <c:v>2.2999999999999998</c:v>
                </c:pt>
                <c:pt idx="2">
                  <c:v>10.200000000000001</c:v>
                </c:pt>
                <c:pt idx="3">
                  <c:v>15.1</c:v>
                </c:pt>
                <c:pt idx="4">
                  <c:v>18.899999999999999</c:v>
                </c:pt>
                <c:pt idx="5">
                  <c:v>13.6</c:v>
                </c:pt>
                <c:pt idx="6">
                  <c:v>28.5</c:v>
                </c:pt>
                <c:pt idx="7">
                  <c:v>14.3</c:v>
                </c:pt>
                <c:pt idx="8">
                  <c:v>57.9</c:v>
                </c:pt>
              </c:numCache>
            </c:numRef>
          </c:val>
        </c:ser>
        <c:ser>
          <c:idx val="2"/>
          <c:order val="2"/>
          <c:tx>
            <c:strRef>
              <c:f>Лист4!$F$6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20079"/>
            </a:solidFill>
            <a:scene3d>
              <a:camera prst="orthographicFront"/>
              <a:lightRig rig="threePt" dir="t"/>
            </a:scene3d>
            <a:sp3d prstMaterial="powder">
              <a:bevelT w="63500"/>
            </a:sp3d>
          </c:spPr>
          <c:dLbls>
            <c:dLbl>
              <c:idx val="0"/>
              <c:layout>
                <c:manualLayout>
                  <c:x val="0"/>
                  <c:y val="-7.839506172839700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-5.226337448559690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-5.226337448559690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-7.8395061728395114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-7.8395061728395114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432923257176402E-3"/>
                  <c:y val="-5.226337448559651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0"/>
                  <c:y val="-1.5679012345679012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-7.839506172839492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Лист4!$C$7:$C$15</c:f>
              <c:strCache>
                <c:ptCount val="9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Научная работа</c:v>
                </c:pt>
                <c:pt idx="3">
                  <c:v>Политическая деятельность</c:v>
                </c:pt>
                <c:pt idx="4">
                  <c:v>Обучение за рубежом</c:v>
                </c:pt>
                <c:pt idx="5">
                  <c:v>Преподавательская деятельность</c:v>
                </c:pt>
                <c:pt idx="6">
                  <c:v>Государственная служба</c:v>
                </c:pt>
                <c:pt idx="7">
                  <c:v>Получение второго высшего образования, поступление в магистратуру, аспирантуру </c:v>
                </c:pt>
                <c:pt idx="8">
                  <c:v>Бизнес-карьера</c:v>
                </c:pt>
              </c:strCache>
            </c:strRef>
          </c:cat>
          <c:val>
            <c:numRef>
              <c:f>Лист4!$F$7:$F$15</c:f>
              <c:numCache>
                <c:formatCode>General</c:formatCode>
                <c:ptCount val="9"/>
                <c:pt idx="0">
                  <c:v>5.8</c:v>
                </c:pt>
                <c:pt idx="1">
                  <c:v>2.2000000000000002</c:v>
                </c:pt>
                <c:pt idx="2">
                  <c:v>13</c:v>
                </c:pt>
                <c:pt idx="3">
                  <c:v>9.9</c:v>
                </c:pt>
                <c:pt idx="4">
                  <c:v>10.3</c:v>
                </c:pt>
                <c:pt idx="5">
                  <c:v>17.5</c:v>
                </c:pt>
                <c:pt idx="6">
                  <c:v>17.5</c:v>
                </c:pt>
                <c:pt idx="7">
                  <c:v>19.3</c:v>
                </c:pt>
                <c:pt idx="8">
                  <c:v>73.099999999999994</c:v>
                </c:pt>
              </c:numCache>
            </c:numRef>
          </c:val>
        </c:ser>
        <c:axId val="75476352"/>
        <c:axId val="87143936"/>
      </c:barChart>
      <c:catAx>
        <c:axId val="7547635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7143936"/>
        <c:crosses val="autoZero"/>
        <c:auto val="1"/>
        <c:lblAlgn val="ctr"/>
        <c:lblOffset val="100"/>
      </c:catAx>
      <c:valAx>
        <c:axId val="87143936"/>
        <c:scaling>
          <c:orientation val="minMax"/>
        </c:scaling>
        <c:axPos val="b"/>
        <c:numFmt formatCode="General" sourceLinked="1"/>
        <c:tickLblPos val="nextTo"/>
        <c:crossAx val="7547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339957264959312"/>
          <c:y val="0.35527410942800197"/>
          <c:w val="9.1930652680652744E-2"/>
          <c:h val="0.15357042391971587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Лист2!$C$5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47CB0"/>
            </a:solidFill>
            <a:ln w="3175" cap="flat" cmpd="sng" algn="ctr">
              <a:solidFill>
                <a:schemeClr val="tx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2.2222222222222251E-2"/>
                  <c:y val="-1.3888888888889209E-2"/>
                </c:manualLayout>
              </c:layout>
              <c:showVal val="1"/>
            </c:dLbl>
            <c:dLbl>
              <c:idx val="1"/>
              <c:layout>
                <c:manualLayout>
                  <c:x val="1.666666666666670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-2.77777777777788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Лист2!$D$4:$F$4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2015</c:v>
                </c:pt>
              </c:numCache>
            </c:numRef>
          </c:cat>
          <c:val>
            <c:numRef>
              <c:f>Лист2!$D$5:$F$5</c:f>
              <c:numCache>
                <c:formatCode>General</c:formatCode>
                <c:ptCount val="3"/>
                <c:pt idx="0">
                  <c:v>82.1</c:v>
                </c:pt>
                <c:pt idx="1">
                  <c:v>86.5</c:v>
                </c:pt>
                <c:pt idx="2">
                  <c:v>79.900000000000006</c:v>
                </c:pt>
              </c:numCache>
            </c:numRef>
          </c:val>
        </c:ser>
        <c:ser>
          <c:idx val="1"/>
          <c:order val="1"/>
          <c:tx>
            <c:strRef>
              <c:f>Лист2!$C$6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66CC"/>
            </a:solidFill>
            <a:ln w="3175"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666666666666701E-2"/>
                  <c:y val="-1.38888888888892E-2"/>
                </c:manualLayout>
              </c:layout>
              <c:showVal val="1"/>
            </c:dLbl>
            <c:dLbl>
              <c:idx val="1"/>
              <c:layout>
                <c:manualLayout>
                  <c:x val="1.38888888888892E-2"/>
                  <c:y val="-1.3888888888889119E-2"/>
                </c:manualLayout>
              </c:layout>
              <c:showVal val="1"/>
            </c:dLbl>
            <c:dLbl>
              <c:idx val="2"/>
              <c:layout>
                <c:manualLayout>
                  <c:x val="1.6666666666666583E-2"/>
                  <c:y val="-9.259259259259545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Лист2!$D$4:$F$4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2015</c:v>
                </c:pt>
              </c:numCache>
            </c:numRef>
          </c:cat>
          <c:val>
            <c:numRef>
              <c:f>Лист2!$D$6:$F$6</c:f>
              <c:numCache>
                <c:formatCode>General</c:formatCode>
                <c:ptCount val="3"/>
                <c:pt idx="0">
                  <c:v>7.6</c:v>
                </c:pt>
                <c:pt idx="1">
                  <c:v>5.6</c:v>
                </c:pt>
                <c:pt idx="2">
                  <c:v>6.3</c:v>
                </c:pt>
              </c:numCache>
            </c:numRef>
          </c:val>
        </c:ser>
        <c:ser>
          <c:idx val="2"/>
          <c:order val="2"/>
          <c:tx>
            <c:strRef>
              <c:f>Лист2!$C$7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97FF"/>
            </a:solidFill>
            <a:ln w="3175" cap="flat" cmpd="sng" algn="ctr">
              <a:solidFill>
                <a:schemeClr val="tx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1.6666666666666701E-2"/>
                  <c:y val="-2.777777777777881E-2"/>
                </c:manualLayout>
              </c:layout>
              <c:showVal val="1"/>
            </c:dLbl>
            <c:dLbl>
              <c:idx val="1"/>
              <c:layout>
                <c:manualLayout>
                  <c:x val="1.6666666666666701E-2"/>
                  <c:y val="-2.3148148148148147E-2"/>
                </c:manualLayout>
              </c:layout>
              <c:showVal val="1"/>
            </c:dLbl>
            <c:dLbl>
              <c:idx val="2"/>
              <c:layout>
                <c:manualLayout>
                  <c:x val="1.6666666666666701E-2"/>
                  <c:y val="-1.851851851851858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Лист2!$D$4:$F$4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2015</c:v>
                </c:pt>
              </c:numCache>
            </c:numRef>
          </c:cat>
          <c:val>
            <c:numRef>
              <c:f>Лист2!$D$7:$F$7</c:f>
              <c:numCache>
                <c:formatCode>General</c:formatCode>
                <c:ptCount val="3"/>
                <c:pt idx="0">
                  <c:v>10.3</c:v>
                </c:pt>
                <c:pt idx="1">
                  <c:v>7.9</c:v>
                </c:pt>
                <c:pt idx="2">
                  <c:v>13.9</c:v>
                </c:pt>
              </c:numCache>
            </c:numRef>
          </c:val>
        </c:ser>
        <c:gapWidth val="75"/>
        <c:shape val="box"/>
        <c:axId val="91022464"/>
        <c:axId val="91024000"/>
        <c:axId val="0"/>
      </c:bar3DChart>
      <c:catAx>
        <c:axId val="910224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91024000"/>
        <c:crosses val="autoZero"/>
        <c:auto val="1"/>
        <c:lblAlgn val="ctr"/>
        <c:lblOffset val="100"/>
      </c:catAx>
      <c:valAx>
        <c:axId val="91024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91022464"/>
        <c:crosses val="autoZero"/>
        <c:crossBetween val="between"/>
      </c:valAx>
    </c:plotArea>
    <c:legend>
      <c:legendPos val="b"/>
      <c:txPr>
        <a:bodyPr/>
        <a:lstStyle/>
        <a:p>
          <a:pPr>
            <a:defRPr b="1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</c:chart>
  <c:spPr>
    <a:gradFill flip="none" rotWithShape="1">
      <a:gsLst>
        <a:gs pos="0">
          <a:srgbClr val="947CB0">
            <a:alpha val="64000"/>
          </a:srgbClr>
        </a:gs>
        <a:gs pos="50000">
          <a:srgbClr val="947CB0">
            <a:tint val="44500"/>
            <a:satMod val="160000"/>
          </a:srgbClr>
        </a:gs>
        <a:gs pos="100000">
          <a:srgbClr val="947CB0">
            <a:tint val="23500"/>
            <a:satMod val="160000"/>
          </a:srgbClr>
        </a:gs>
      </a:gsLst>
      <a:lin ang="162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Лист6!$D$37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B7FF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Лист6!$C$38:$C$45</c:f>
              <c:strCache>
                <c:ptCount val="8"/>
                <c:pt idx="0">
                  <c:v>Доступностью учебно-методической литературы</c:v>
                </c:pt>
                <c:pt idx="1">
                  <c:v>Использованием технических средств обучения</c:v>
                </c:pt>
                <c:pt idx="2">
                  <c:v>Объемом учебной нагрузки</c:v>
                </c:pt>
                <c:pt idx="3">
                  <c:v>Набором читаемых дисциплин</c:v>
                </c:pt>
                <c:pt idx="4">
                  <c:v>Содержанием учебных дисциплин</c:v>
                </c:pt>
                <c:pt idx="5">
                  <c:v>Объективностью преподавателей</c:v>
                </c:pt>
                <c:pt idx="6">
                  <c:v>Качеством преподавания отдельных дисциплин</c:v>
                </c:pt>
                <c:pt idx="7">
                  <c:v>Профессиональным уровнем профессорско-преподавательского состава</c:v>
                </c:pt>
              </c:strCache>
            </c:strRef>
          </c:cat>
          <c:val>
            <c:numRef>
              <c:f>Лист6!$D$38:$D$45</c:f>
              <c:numCache>
                <c:formatCode>General</c:formatCode>
                <c:ptCount val="8"/>
                <c:pt idx="0">
                  <c:v>43.9</c:v>
                </c:pt>
                <c:pt idx="1">
                  <c:v>69.400000000000006</c:v>
                </c:pt>
                <c:pt idx="2">
                  <c:v>50.1</c:v>
                </c:pt>
                <c:pt idx="3">
                  <c:v>49.6</c:v>
                </c:pt>
                <c:pt idx="4">
                  <c:v>58.6</c:v>
                </c:pt>
                <c:pt idx="5">
                  <c:v>51.3</c:v>
                </c:pt>
                <c:pt idx="6">
                  <c:v>46.1</c:v>
                </c:pt>
                <c:pt idx="7">
                  <c:v>80.8</c:v>
                </c:pt>
              </c:numCache>
            </c:numRef>
          </c:val>
        </c:ser>
        <c:ser>
          <c:idx val="1"/>
          <c:order val="1"/>
          <c:tx>
            <c:strRef>
              <c:f>Лист6!$E$37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Лист6!$C$38:$C$45</c:f>
              <c:strCache>
                <c:ptCount val="8"/>
                <c:pt idx="0">
                  <c:v>Доступностью учебно-методической литературы</c:v>
                </c:pt>
                <c:pt idx="1">
                  <c:v>Использованием технических средств обучения</c:v>
                </c:pt>
                <c:pt idx="2">
                  <c:v>Объемом учебной нагрузки</c:v>
                </c:pt>
                <c:pt idx="3">
                  <c:v>Набором читаемых дисциплин</c:v>
                </c:pt>
                <c:pt idx="4">
                  <c:v>Содержанием учебных дисциплин</c:v>
                </c:pt>
                <c:pt idx="5">
                  <c:v>Объективностью преподавателей</c:v>
                </c:pt>
                <c:pt idx="6">
                  <c:v>Качеством преподавания отдельных дисциплин</c:v>
                </c:pt>
                <c:pt idx="7">
                  <c:v>Профессиональным уровнем профессорско-преподавательского состава</c:v>
                </c:pt>
              </c:strCache>
            </c:strRef>
          </c:cat>
          <c:val>
            <c:numRef>
              <c:f>Лист6!$E$38:$E$45</c:f>
              <c:numCache>
                <c:formatCode>General</c:formatCode>
                <c:ptCount val="8"/>
                <c:pt idx="0">
                  <c:v>22.9</c:v>
                </c:pt>
                <c:pt idx="1">
                  <c:v>10.6</c:v>
                </c:pt>
                <c:pt idx="2">
                  <c:v>16.8</c:v>
                </c:pt>
                <c:pt idx="3">
                  <c:v>16.3</c:v>
                </c:pt>
                <c:pt idx="4">
                  <c:v>6.8</c:v>
                </c:pt>
                <c:pt idx="5">
                  <c:v>15.5</c:v>
                </c:pt>
                <c:pt idx="6">
                  <c:v>16.100000000000001</c:v>
                </c:pt>
                <c:pt idx="7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Лист6!$F$37</c:f>
              <c:strCache>
                <c:ptCount val="1"/>
                <c:pt idx="0">
                  <c:v>Не совсем</c:v>
                </c:pt>
              </c:strCache>
            </c:strRef>
          </c:tx>
          <c:spPr>
            <a:solidFill>
              <a:srgbClr val="CC99FF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Лист6!$C$38:$C$45</c:f>
              <c:strCache>
                <c:ptCount val="8"/>
                <c:pt idx="0">
                  <c:v>Доступностью учебно-методической литературы</c:v>
                </c:pt>
                <c:pt idx="1">
                  <c:v>Использованием технических средств обучения</c:v>
                </c:pt>
                <c:pt idx="2">
                  <c:v>Объемом учебной нагрузки</c:v>
                </c:pt>
                <c:pt idx="3">
                  <c:v>Набором читаемых дисциплин</c:v>
                </c:pt>
                <c:pt idx="4">
                  <c:v>Содержанием учебных дисциплин</c:v>
                </c:pt>
                <c:pt idx="5">
                  <c:v>Объективностью преподавателей</c:v>
                </c:pt>
                <c:pt idx="6">
                  <c:v>Качеством преподавания отдельных дисциплин</c:v>
                </c:pt>
                <c:pt idx="7">
                  <c:v>Профессиональным уровнем профессорско-преподавательского состава</c:v>
                </c:pt>
              </c:strCache>
            </c:strRef>
          </c:cat>
          <c:val>
            <c:numRef>
              <c:f>Лист6!$F$38:$F$45</c:f>
              <c:numCache>
                <c:formatCode>General</c:formatCode>
                <c:ptCount val="8"/>
                <c:pt idx="0">
                  <c:v>33.200000000000003</c:v>
                </c:pt>
                <c:pt idx="1">
                  <c:v>19.899999999999999</c:v>
                </c:pt>
                <c:pt idx="2">
                  <c:v>33.1</c:v>
                </c:pt>
                <c:pt idx="3">
                  <c:v>34.1</c:v>
                </c:pt>
                <c:pt idx="4">
                  <c:v>34.700000000000003</c:v>
                </c:pt>
                <c:pt idx="5">
                  <c:v>33.200000000000003</c:v>
                </c:pt>
                <c:pt idx="6">
                  <c:v>37.800000000000004</c:v>
                </c:pt>
                <c:pt idx="7">
                  <c:v>15.5</c:v>
                </c:pt>
              </c:numCache>
            </c:numRef>
          </c:val>
        </c:ser>
        <c:dLbls>
          <c:showVal val="1"/>
        </c:dLbls>
        <c:gapWidth val="75"/>
        <c:overlap val="100"/>
        <c:axId val="96962432"/>
        <c:axId val="96976896"/>
      </c:barChart>
      <c:catAx>
        <c:axId val="96962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6976896"/>
        <c:crosses val="autoZero"/>
        <c:auto val="1"/>
        <c:lblAlgn val="ctr"/>
        <c:lblOffset val="100"/>
      </c:catAx>
      <c:valAx>
        <c:axId val="96976896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969624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015746421268408"/>
          <c:y val="6.3052229674728039E-2"/>
          <c:w val="0.4750681663258422"/>
          <c:h val="0.86549027547605673"/>
        </c:manualLayout>
      </c:layout>
      <c:barChart>
        <c:barDir val="bar"/>
        <c:grouping val="clustered"/>
        <c:ser>
          <c:idx val="0"/>
          <c:order val="0"/>
          <c:tx>
            <c:strRef>
              <c:f>Лист18!$D$7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44450"/>
            </a:sp3d>
          </c:spPr>
          <c:dLbls>
            <c:dLbl>
              <c:idx val="0"/>
              <c:layout>
                <c:manualLayout>
                  <c:x val="-6.4928425357874088E-3"/>
                  <c:y val="1.177643322437814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4928425357874088E-3"/>
                  <c:y val="8.832324918283824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6571233810496823E-3"/>
                  <c:y val="1.472054153047268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9356047598460916E-17"/>
                  <c:y val="8.8323249182838143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6.4930129516019104E-3"/>
                  <c:y val="8.8323249182838143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4928425357874088E-3"/>
                  <c:y val="5.8882166121890823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8.6571233810497621E-3"/>
                  <c:y val="1.177643322437814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Лист18!$C$8:$C$17</c:f>
              <c:strCache>
                <c:ptCount val="10"/>
                <c:pt idx="0">
                  <c:v>Другое </c:v>
                </c:pt>
                <c:pt idx="1">
                  <c:v>Усиление контроля за посещаемостью</c:v>
                </c:pt>
                <c:pt idx="2">
                  <c:v>Повышение уровня требований к знаниям студентов</c:v>
                </c:pt>
                <c:pt idx="3">
                  <c:v>Использование в преподавательской деятельности современных    инновационных методик и технологий</c:v>
                </c:pt>
                <c:pt idx="4">
                  <c:v> Обновление методики проведения семинарских занятий</c:v>
                </c:pt>
                <c:pt idx="5">
                  <c:v>Обновление содержания читаемых курсов</c:v>
                </c:pt>
                <c:pt idx="6">
                  <c:v>Улучшение обеспечения научно-методической литературой</c:v>
                </c:pt>
                <c:pt idx="7">
                  <c:v>Приглашение преподавателей из-за рубежа (система обмена)</c:v>
                </c:pt>
                <c:pt idx="8">
                  <c:v>Составление более удобного расписания (ликвидация «окон»)</c:v>
                </c:pt>
                <c:pt idx="9">
                  <c:v>Повышение практической значимости читаемых дисциплин</c:v>
                </c:pt>
              </c:strCache>
            </c:strRef>
          </c:cat>
          <c:val>
            <c:numRef>
              <c:f>Лист18!$D$8:$D$17</c:f>
              <c:numCache>
                <c:formatCode>General</c:formatCode>
                <c:ptCount val="10"/>
                <c:pt idx="0">
                  <c:v>0.9</c:v>
                </c:pt>
                <c:pt idx="1">
                  <c:v>9.3000000000000007</c:v>
                </c:pt>
                <c:pt idx="2">
                  <c:v>13.5</c:v>
                </c:pt>
                <c:pt idx="3">
                  <c:v>14</c:v>
                </c:pt>
                <c:pt idx="4">
                  <c:v>15.2</c:v>
                </c:pt>
                <c:pt idx="5">
                  <c:v>25.2</c:v>
                </c:pt>
                <c:pt idx="6">
                  <c:v>25.3</c:v>
                </c:pt>
                <c:pt idx="7">
                  <c:v>32.6</c:v>
                </c:pt>
                <c:pt idx="8">
                  <c:v>38</c:v>
                </c:pt>
                <c:pt idx="9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Лист18!$E$7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4"/>
            </a:solidFill>
            <a:scene3d>
              <a:camera prst="orthographicFront"/>
              <a:lightRig rig="threePt" dir="t"/>
            </a:scene3d>
            <a:sp3d>
              <a:bevelT w="44450"/>
            </a:sp3d>
          </c:spPr>
          <c:dLbls>
            <c:dLbl>
              <c:idx val="0"/>
              <c:layout>
                <c:manualLayout>
                  <c:x val="-4.3285616905248923E-3"/>
                  <c:y val="1.177643322437814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3285616905248923E-3"/>
                  <c:y val="2.9441083060945412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8.6571233810497621E-3"/>
                  <c:y val="-5.888216612189082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+mn-lt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Лист18!$C$8:$C$17</c:f>
              <c:strCache>
                <c:ptCount val="10"/>
                <c:pt idx="0">
                  <c:v>Другое </c:v>
                </c:pt>
                <c:pt idx="1">
                  <c:v>Усиление контроля за посещаемостью</c:v>
                </c:pt>
                <c:pt idx="2">
                  <c:v>Повышение уровня требований к знаниям студентов</c:v>
                </c:pt>
                <c:pt idx="3">
                  <c:v>Использование в преподавательской деятельности современных    инновационных методик и технологий</c:v>
                </c:pt>
                <c:pt idx="4">
                  <c:v> Обновление методики проведения семинарских занятий</c:v>
                </c:pt>
                <c:pt idx="5">
                  <c:v>Обновление содержания читаемых курсов</c:v>
                </c:pt>
                <c:pt idx="6">
                  <c:v>Улучшение обеспечения научно-методической литературой</c:v>
                </c:pt>
                <c:pt idx="7">
                  <c:v>Приглашение преподавателей из-за рубежа (система обмена)</c:v>
                </c:pt>
                <c:pt idx="8">
                  <c:v>Составление более удобного расписания (ликвидация «окон»)</c:v>
                </c:pt>
                <c:pt idx="9">
                  <c:v>Повышение практической значимости читаемых дисциплин</c:v>
                </c:pt>
              </c:strCache>
            </c:strRef>
          </c:cat>
          <c:val>
            <c:numRef>
              <c:f>Лист18!$E$8:$E$17</c:f>
              <c:numCache>
                <c:formatCode>General</c:formatCode>
                <c:ptCount val="10"/>
                <c:pt idx="0">
                  <c:v>1.7</c:v>
                </c:pt>
                <c:pt idx="1">
                  <c:v>6.3</c:v>
                </c:pt>
                <c:pt idx="2">
                  <c:v>12.9</c:v>
                </c:pt>
                <c:pt idx="3">
                  <c:v>37.300000000000004</c:v>
                </c:pt>
                <c:pt idx="4">
                  <c:v>16.399999999999999</c:v>
                </c:pt>
                <c:pt idx="5">
                  <c:v>12.7</c:v>
                </c:pt>
                <c:pt idx="6">
                  <c:v>29.9</c:v>
                </c:pt>
                <c:pt idx="7">
                  <c:v>31.2</c:v>
                </c:pt>
                <c:pt idx="8">
                  <c:v>52.8</c:v>
                </c:pt>
                <c:pt idx="9">
                  <c:v>45.4</c:v>
                </c:pt>
              </c:numCache>
            </c:numRef>
          </c:val>
        </c:ser>
        <c:ser>
          <c:idx val="2"/>
          <c:order val="2"/>
          <c:tx>
            <c:strRef>
              <c:f>Лист18!$F$7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99FF"/>
            </a:solidFill>
            <a:scene3d>
              <a:camera prst="orthographicFront"/>
              <a:lightRig rig="threePt" dir="t"/>
            </a:scene3d>
            <a:sp3d>
              <a:bevelT w="69850" h="44450"/>
            </a:sp3d>
          </c:spPr>
          <c:dLbls>
            <c:dLbl>
              <c:idx val="1"/>
              <c:layout>
                <c:manualLayout>
                  <c:x val="-6.4928425357872934E-3"/>
                  <c:y val="-8.832324918283524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6571233810496823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6.4928425357874088E-3"/>
                  <c:y val="-2.9441083060945412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Лист18!$C$8:$C$17</c:f>
              <c:strCache>
                <c:ptCount val="10"/>
                <c:pt idx="0">
                  <c:v>Другое </c:v>
                </c:pt>
                <c:pt idx="1">
                  <c:v>Усиление контроля за посещаемостью</c:v>
                </c:pt>
                <c:pt idx="2">
                  <c:v>Повышение уровня требований к знаниям студентов</c:v>
                </c:pt>
                <c:pt idx="3">
                  <c:v>Использование в преподавательской деятельности современных    инновационных методик и технологий</c:v>
                </c:pt>
                <c:pt idx="4">
                  <c:v> Обновление методики проведения семинарских занятий</c:v>
                </c:pt>
                <c:pt idx="5">
                  <c:v>Обновление содержания читаемых курсов</c:v>
                </c:pt>
                <c:pt idx="6">
                  <c:v>Улучшение обеспечения научно-методической литературой</c:v>
                </c:pt>
                <c:pt idx="7">
                  <c:v>Приглашение преподавателей из-за рубежа (система обмена)</c:v>
                </c:pt>
                <c:pt idx="8">
                  <c:v>Составление более удобного расписания (ликвидация «окон»)</c:v>
                </c:pt>
                <c:pt idx="9">
                  <c:v>Повышение практической значимости читаемых дисциплин</c:v>
                </c:pt>
              </c:strCache>
            </c:strRef>
          </c:cat>
          <c:val>
            <c:numRef>
              <c:f>Лист18!$F$8:$F$17</c:f>
              <c:numCache>
                <c:formatCode>General</c:formatCode>
                <c:ptCount val="10"/>
                <c:pt idx="0">
                  <c:v>8.1</c:v>
                </c:pt>
                <c:pt idx="1">
                  <c:v>9</c:v>
                </c:pt>
                <c:pt idx="2">
                  <c:v>17.2</c:v>
                </c:pt>
                <c:pt idx="4">
                  <c:v>44.8</c:v>
                </c:pt>
                <c:pt idx="5">
                  <c:v>33</c:v>
                </c:pt>
                <c:pt idx="6">
                  <c:v>37.6</c:v>
                </c:pt>
                <c:pt idx="7">
                  <c:v>34.800000000000004</c:v>
                </c:pt>
              </c:numCache>
            </c:numRef>
          </c:val>
        </c:ser>
        <c:axId val="97751040"/>
        <c:axId val="97752576"/>
      </c:barChart>
      <c:catAx>
        <c:axId val="9775104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7752576"/>
        <c:crosses val="autoZero"/>
        <c:auto val="1"/>
        <c:lblAlgn val="ctr"/>
        <c:lblOffset val="100"/>
      </c:catAx>
      <c:valAx>
        <c:axId val="97752576"/>
        <c:scaling>
          <c:orientation val="minMax"/>
        </c:scaling>
        <c:axPos val="b"/>
        <c:numFmt formatCode="General" sourceLinked="1"/>
        <c:tickLblPos val="nextTo"/>
        <c:crossAx val="9775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33197000681668"/>
          <c:y val="0.34110647472007788"/>
          <c:w val="8.0650817995910062E-2"/>
          <c:h val="0.15971416649280626"/>
        </c:manualLayout>
      </c:layout>
      <c:overlay val="1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a_sharonova</dc:creator>
  <cp:keywords/>
  <dc:description/>
  <cp:lastModifiedBy>a_sharonova</cp:lastModifiedBy>
  <cp:revision>6</cp:revision>
  <dcterms:created xsi:type="dcterms:W3CDTF">2017-01-17T08:42:00Z</dcterms:created>
  <dcterms:modified xsi:type="dcterms:W3CDTF">2017-01-17T10:32:00Z</dcterms:modified>
</cp:coreProperties>
</file>