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66" w:rsidRDefault="00DD5B66" w:rsidP="00DD5B66">
      <w:pPr>
        <w:pStyle w:val="msonormalmailrucssattributepostfix"/>
        <w:spacing w:before="0" w:beforeAutospacing="0" w:after="0" w:afterAutospacing="0"/>
        <w:ind w:left="-567" w:firstLine="567"/>
        <w:rPr>
          <w:color w:val="000000"/>
          <w:spacing w:val="-2"/>
          <w:lang w:eastAsia="ar-SA"/>
        </w:rPr>
      </w:pPr>
      <w:r>
        <w:rPr>
          <w:noProof/>
          <w:color w:val="000000"/>
          <w:spacing w:val="-2"/>
        </w:rPr>
        <w:drawing>
          <wp:inline distT="0" distB="0" distL="0" distR="0">
            <wp:extent cx="6315075" cy="906076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88" cy="907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66" w:rsidRDefault="00DD5B66" w:rsidP="00DD5B66">
      <w:pPr>
        <w:pStyle w:val="msonormalmailrucssattributepostfix"/>
        <w:spacing w:before="0" w:beforeAutospacing="0" w:after="0" w:afterAutospacing="0"/>
        <w:ind w:left="-567" w:firstLine="567"/>
        <w:rPr>
          <w:color w:val="000000"/>
          <w:spacing w:val="-2"/>
          <w:lang w:eastAsia="ar-SA"/>
        </w:rPr>
      </w:pPr>
    </w:p>
    <w:p w:rsidR="00DD5B66" w:rsidRDefault="00DD5B66" w:rsidP="00DD5B66">
      <w:pPr>
        <w:pStyle w:val="msonormalmailrucssattributepostfix"/>
        <w:spacing w:before="0" w:beforeAutospacing="0" w:after="0" w:afterAutospacing="0"/>
        <w:ind w:left="-567" w:firstLine="567"/>
        <w:rPr>
          <w:color w:val="000000"/>
          <w:spacing w:val="-2"/>
          <w:lang w:eastAsia="ar-SA"/>
        </w:rPr>
      </w:pPr>
      <w:r>
        <w:rPr>
          <w:noProof/>
          <w:color w:val="000000"/>
          <w:spacing w:val="-2"/>
        </w:rPr>
        <w:lastRenderedPageBreak/>
        <w:drawing>
          <wp:inline distT="0" distB="0" distL="0" distR="0">
            <wp:extent cx="6359183" cy="91535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157" cy="915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66" w:rsidRDefault="00DD5B66" w:rsidP="00DD5B66">
      <w:pPr>
        <w:pStyle w:val="msonormalmailrucssattributepostfix"/>
        <w:spacing w:before="0" w:beforeAutospacing="0" w:after="0" w:afterAutospacing="0"/>
        <w:ind w:left="-567" w:firstLine="567"/>
        <w:rPr>
          <w:color w:val="000000"/>
          <w:spacing w:val="-2"/>
          <w:lang w:eastAsia="ar-SA"/>
        </w:rPr>
      </w:pPr>
      <w:r>
        <w:rPr>
          <w:noProof/>
          <w:color w:val="000000"/>
          <w:spacing w:val="-2"/>
        </w:rPr>
        <w:lastRenderedPageBreak/>
        <w:drawing>
          <wp:inline distT="0" distB="0" distL="0" distR="0">
            <wp:extent cx="6500106" cy="912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73" cy="913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66" w:rsidRDefault="00DD5B66" w:rsidP="00DD5B66">
      <w:pPr>
        <w:pStyle w:val="msonormalmailrucssattributepostfix"/>
        <w:spacing w:before="0" w:beforeAutospacing="0" w:after="0" w:afterAutospacing="0"/>
        <w:ind w:left="-567" w:firstLine="567"/>
        <w:rPr>
          <w:color w:val="000000"/>
          <w:spacing w:val="-2"/>
          <w:lang w:eastAsia="ar-SA"/>
        </w:rPr>
      </w:pPr>
      <w:bookmarkStart w:id="0" w:name="_GoBack"/>
      <w:r>
        <w:rPr>
          <w:noProof/>
          <w:color w:val="000000"/>
          <w:spacing w:val="-2"/>
        </w:rPr>
        <w:lastRenderedPageBreak/>
        <w:drawing>
          <wp:inline distT="0" distB="0" distL="0" distR="0">
            <wp:extent cx="6315075" cy="93222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57" cy="933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5B66" w:rsidRDefault="00DD5B66" w:rsidP="00B007E4">
      <w:pPr>
        <w:pStyle w:val="msonormalmailrucssattributepostfix"/>
        <w:spacing w:before="0" w:beforeAutospacing="0" w:after="0" w:afterAutospacing="0"/>
        <w:ind w:firstLine="567"/>
        <w:rPr>
          <w:color w:val="000000"/>
          <w:spacing w:val="-2"/>
          <w:lang w:eastAsia="ar-SA"/>
        </w:rPr>
      </w:pPr>
    </w:p>
    <w:p w:rsidR="00B007E4" w:rsidRPr="0039088B" w:rsidRDefault="00B007E4" w:rsidP="00B007E4">
      <w:pPr>
        <w:pStyle w:val="msonormalmailrucssattributepostfix"/>
        <w:spacing w:before="0" w:beforeAutospacing="0" w:after="0" w:afterAutospacing="0"/>
        <w:ind w:firstLine="567"/>
        <w:rPr>
          <w:color w:val="000000"/>
          <w:spacing w:val="-2"/>
          <w:lang w:eastAsia="ar-SA"/>
        </w:rPr>
      </w:pPr>
      <w:r w:rsidRPr="0039088B">
        <w:rPr>
          <w:color w:val="000000"/>
          <w:spacing w:val="-2"/>
          <w:lang w:eastAsia="ar-SA"/>
        </w:rPr>
        <w:t xml:space="preserve">УДК 630.1 </w:t>
      </w:r>
    </w:p>
    <w:p w:rsidR="00B007E4" w:rsidRPr="006B1087" w:rsidRDefault="00B007E4" w:rsidP="00B007E4">
      <w:pPr>
        <w:pStyle w:val="msonormalmailrucssattributepostfix"/>
        <w:spacing w:before="0" w:beforeAutospacing="0" w:after="0" w:afterAutospacing="0"/>
        <w:jc w:val="center"/>
        <w:rPr>
          <w:b/>
          <w:caps/>
        </w:rPr>
      </w:pPr>
      <w:r w:rsidRPr="006B1087">
        <w:rPr>
          <w:b/>
          <w:caps/>
        </w:rPr>
        <w:t>БИОГЕохимическ</w:t>
      </w:r>
      <w:r>
        <w:rPr>
          <w:b/>
          <w:caps/>
        </w:rPr>
        <w:t>ая</w:t>
      </w:r>
      <w:r w:rsidRPr="006B1087">
        <w:rPr>
          <w:b/>
          <w:caps/>
        </w:rPr>
        <w:t xml:space="preserve"> дифференциаци</w:t>
      </w:r>
      <w:r>
        <w:rPr>
          <w:b/>
          <w:caps/>
        </w:rPr>
        <w:t>я</w:t>
      </w:r>
      <w:r w:rsidRPr="006B1087">
        <w:rPr>
          <w:b/>
          <w:caps/>
        </w:rPr>
        <w:t xml:space="preserve"> </w:t>
      </w:r>
      <w:r>
        <w:rPr>
          <w:b/>
          <w:caps/>
        </w:rPr>
        <w:t xml:space="preserve">фитомассы </w:t>
      </w:r>
      <w:r w:rsidRPr="006B1087">
        <w:rPr>
          <w:b/>
          <w:caps/>
        </w:rPr>
        <w:t>ЮЖНО-ТАЕЖНЫХ ЛАНДШАФТов Центрально-Лесного заповедника</w:t>
      </w:r>
    </w:p>
    <w:p w:rsidR="00B007E4" w:rsidRDefault="00B007E4" w:rsidP="00B007E4">
      <w:pPr>
        <w:pStyle w:val="msonormalmailrucssattributepostfix"/>
        <w:spacing w:before="0" w:beforeAutospacing="0" w:after="0" w:afterAutospacing="0"/>
        <w:jc w:val="center"/>
      </w:pPr>
      <w:r w:rsidRPr="0039088B">
        <w:t xml:space="preserve">П. Р. </w:t>
      </w:r>
      <w:proofErr w:type="spellStart"/>
      <w:r w:rsidRPr="0039088B">
        <w:t>Енчилик</w:t>
      </w:r>
      <w:proofErr w:type="spellEnd"/>
      <w:r w:rsidRPr="0039088B">
        <w:t xml:space="preserve">, Е. Н. Асеева, И. Н. Семенков, </w:t>
      </w:r>
      <w:r>
        <w:t xml:space="preserve">Е. В. Терская, Н. С. </w:t>
      </w:r>
      <w:proofErr w:type="spellStart"/>
      <w:r>
        <w:t>Касимов</w:t>
      </w:r>
      <w:proofErr w:type="spellEnd"/>
    </w:p>
    <w:p w:rsidR="00B007E4" w:rsidRDefault="00B007E4" w:rsidP="00B007E4">
      <w:pPr>
        <w:pStyle w:val="msonormalmailrucssattributepostfix"/>
        <w:spacing w:before="0" w:beforeAutospacing="0" w:after="0" w:afterAutospacing="0"/>
        <w:jc w:val="center"/>
      </w:pPr>
      <w:r>
        <w:t xml:space="preserve">Географический факультет </w:t>
      </w:r>
      <w:r w:rsidRPr="0039088B">
        <w:t>МГУ им</w:t>
      </w:r>
      <w:r>
        <w:t>ени</w:t>
      </w:r>
      <w:r w:rsidRPr="0039088B">
        <w:t xml:space="preserve"> </w:t>
      </w:r>
      <w:proofErr w:type="spellStart"/>
      <w:r w:rsidRPr="0039088B">
        <w:t>М.В.Ломоносова</w:t>
      </w:r>
      <w:proofErr w:type="spellEnd"/>
      <w:r w:rsidRPr="0039088B">
        <w:t xml:space="preserve">, </w:t>
      </w:r>
      <w:r>
        <w:t xml:space="preserve">Москва, </w:t>
      </w:r>
    </w:p>
    <w:p w:rsidR="00B007E4" w:rsidRPr="0039088B" w:rsidRDefault="00B007E4" w:rsidP="00B007E4">
      <w:pPr>
        <w:pStyle w:val="msonormalmailrucssattributepostfix"/>
        <w:spacing w:before="0" w:beforeAutospacing="0" w:after="0" w:afterAutospacing="0"/>
        <w:jc w:val="center"/>
      </w:pPr>
      <w:r w:rsidRPr="00C71CCE">
        <w:rPr>
          <w:lang w:val="en-US"/>
        </w:rPr>
        <w:t>polimail</w:t>
      </w:r>
      <w:r w:rsidRPr="00C71CCE">
        <w:t>@</w:t>
      </w:r>
      <w:r w:rsidRPr="00C71CCE">
        <w:rPr>
          <w:lang w:val="en-US"/>
        </w:rPr>
        <w:t>inbox</w:t>
      </w:r>
      <w:r w:rsidRPr="00C71CCE">
        <w:t>.</w:t>
      </w:r>
      <w:r w:rsidRPr="00C71CCE">
        <w:rPr>
          <w:lang w:val="en-US"/>
        </w:rPr>
        <w:t>ru</w:t>
      </w:r>
    </w:p>
    <w:p w:rsidR="00B007E4" w:rsidRPr="00197BED" w:rsidRDefault="00B007E4" w:rsidP="00B007E4">
      <w:pPr>
        <w:pStyle w:val="msonormalmailrucssattributepostfix"/>
        <w:spacing w:before="0" w:beforeAutospacing="0" w:after="0" w:afterAutospacing="0"/>
        <w:ind w:firstLine="284"/>
        <w:jc w:val="both"/>
        <w:rPr>
          <w:i/>
        </w:rPr>
      </w:pPr>
      <w:r w:rsidRPr="00197BED">
        <w:rPr>
          <w:i/>
          <w:color w:val="000000"/>
          <w:spacing w:val="-2"/>
        </w:rPr>
        <w:t xml:space="preserve">Аннотация. </w:t>
      </w:r>
      <w:r w:rsidRPr="00197BED">
        <w:rPr>
          <w:i/>
        </w:rPr>
        <w:t xml:space="preserve">На основе </w:t>
      </w:r>
      <w:r>
        <w:rPr>
          <w:i/>
        </w:rPr>
        <w:t xml:space="preserve">определения в </w:t>
      </w:r>
      <w:proofErr w:type="spellStart"/>
      <w:r>
        <w:rPr>
          <w:i/>
        </w:rPr>
        <w:t>фитомассе</w:t>
      </w:r>
      <w:proofErr w:type="spellEnd"/>
      <w:r>
        <w:rPr>
          <w:i/>
        </w:rPr>
        <w:t xml:space="preserve"> и почвах валовых концентраций </w:t>
      </w:r>
      <w:r w:rsidRPr="004F07F6">
        <w:rPr>
          <w:color w:val="000000"/>
          <w:lang w:val="en-US"/>
        </w:rPr>
        <w:t>Ti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Fe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Mn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Cr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Co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Ni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Cu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Zn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Zr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Sr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Pb</w:t>
      </w:r>
      <w:r w:rsidRPr="006B30D7">
        <w:rPr>
          <w:color w:val="000000"/>
        </w:rPr>
        <w:t xml:space="preserve">, </w:t>
      </w:r>
      <w:r w:rsidRPr="004F07F6">
        <w:rPr>
          <w:color w:val="000000"/>
          <w:lang w:val="en-US"/>
        </w:rPr>
        <w:t>Cd</w:t>
      </w:r>
      <w:r>
        <w:rPr>
          <w:i/>
        </w:rPr>
        <w:t xml:space="preserve"> и </w:t>
      </w:r>
      <w:r w:rsidRPr="00197BED">
        <w:rPr>
          <w:i/>
        </w:rPr>
        <w:t>расчета биогеохимических коэффициентов</w:t>
      </w:r>
      <w:r>
        <w:rPr>
          <w:i/>
        </w:rPr>
        <w:t xml:space="preserve"> </w:t>
      </w:r>
      <w:r w:rsidRPr="00197BED">
        <w:rPr>
          <w:i/>
        </w:rPr>
        <w:t>проанализ</w:t>
      </w:r>
      <w:r>
        <w:rPr>
          <w:i/>
        </w:rPr>
        <w:t>ирована</w:t>
      </w:r>
      <w:r w:rsidRPr="00197BED">
        <w:rPr>
          <w:i/>
        </w:rPr>
        <w:t xml:space="preserve"> биоге</w:t>
      </w:r>
      <w:r>
        <w:rPr>
          <w:i/>
        </w:rPr>
        <w:t xml:space="preserve">охимическая дифференциация лесных сообществ </w:t>
      </w:r>
      <w:proofErr w:type="spellStart"/>
      <w:r w:rsidRPr="00197BED">
        <w:rPr>
          <w:i/>
        </w:rPr>
        <w:t>катен</w:t>
      </w:r>
      <w:r>
        <w:rPr>
          <w:i/>
        </w:rPr>
        <w:t>ы</w:t>
      </w:r>
      <w:proofErr w:type="spellEnd"/>
      <w:r w:rsidRPr="00197BED">
        <w:rPr>
          <w:i/>
        </w:rPr>
        <w:t xml:space="preserve"> в южной части Центрально-Лесного заповедника</w:t>
      </w:r>
      <w:r>
        <w:rPr>
          <w:i/>
        </w:rPr>
        <w:t>, выявлена роль растений травянистого и древесного ярусов в биогенной миграции химических элементов. О</w:t>
      </w:r>
      <w:r w:rsidRPr="00197BED">
        <w:rPr>
          <w:i/>
        </w:rPr>
        <w:t xml:space="preserve">сновную роль по включению в БИК </w:t>
      </w:r>
      <w:proofErr w:type="spellStart"/>
      <w:r w:rsidRPr="00197BED">
        <w:rPr>
          <w:i/>
        </w:rPr>
        <w:t>биофильных</w:t>
      </w:r>
      <w:proofErr w:type="spellEnd"/>
      <w:r w:rsidRPr="00197BED">
        <w:rPr>
          <w:i/>
        </w:rPr>
        <w:t xml:space="preserve"> </w:t>
      </w:r>
      <w:proofErr w:type="spellStart"/>
      <w:r w:rsidRPr="00197BED">
        <w:rPr>
          <w:i/>
        </w:rPr>
        <w:t>Mn</w:t>
      </w:r>
      <w:proofErr w:type="spellEnd"/>
      <w:r w:rsidRPr="00197BED">
        <w:rPr>
          <w:i/>
        </w:rPr>
        <w:t xml:space="preserve">, </w:t>
      </w:r>
      <w:proofErr w:type="spellStart"/>
      <w:r w:rsidRPr="00197BED">
        <w:rPr>
          <w:i/>
        </w:rPr>
        <w:t>Zn</w:t>
      </w:r>
      <w:proofErr w:type="spellEnd"/>
      <w:r w:rsidRPr="00197BED">
        <w:rPr>
          <w:i/>
        </w:rPr>
        <w:t xml:space="preserve">, </w:t>
      </w:r>
      <w:proofErr w:type="spellStart"/>
      <w:r w:rsidRPr="00197BED">
        <w:rPr>
          <w:i/>
        </w:rPr>
        <w:t>Co</w:t>
      </w:r>
      <w:proofErr w:type="spellEnd"/>
      <w:r w:rsidRPr="00197BED">
        <w:rPr>
          <w:i/>
        </w:rPr>
        <w:t xml:space="preserve"> в </w:t>
      </w:r>
      <w:r>
        <w:rPr>
          <w:i/>
        </w:rPr>
        <w:t xml:space="preserve">изученных </w:t>
      </w:r>
      <w:r w:rsidRPr="00197BED">
        <w:rPr>
          <w:i/>
        </w:rPr>
        <w:t>лесных сообществах выполняет древесный ярус, а с</w:t>
      </w:r>
      <w:r>
        <w:rPr>
          <w:i/>
        </w:rPr>
        <w:t>лабо поглощаемых</w:t>
      </w:r>
      <w:r w:rsidRPr="00197BED">
        <w:rPr>
          <w:i/>
        </w:rPr>
        <w:t xml:space="preserve"> </w:t>
      </w:r>
      <w:proofErr w:type="spellStart"/>
      <w:r w:rsidRPr="00197BED">
        <w:rPr>
          <w:i/>
        </w:rPr>
        <w:t>Fe</w:t>
      </w:r>
      <w:proofErr w:type="spellEnd"/>
      <w:r w:rsidRPr="00197BED">
        <w:rPr>
          <w:i/>
        </w:rPr>
        <w:t xml:space="preserve">, </w:t>
      </w:r>
      <w:proofErr w:type="spellStart"/>
      <w:r w:rsidRPr="00197BED">
        <w:rPr>
          <w:i/>
        </w:rPr>
        <w:t>Ti</w:t>
      </w:r>
      <w:proofErr w:type="spellEnd"/>
      <w:r w:rsidRPr="00197BED">
        <w:rPr>
          <w:i/>
        </w:rPr>
        <w:t xml:space="preserve">, </w:t>
      </w:r>
      <w:proofErr w:type="spellStart"/>
      <w:r w:rsidRPr="00197BED">
        <w:rPr>
          <w:i/>
        </w:rPr>
        <w:t>Cr</w:t>
      </w:r>
      <w:proofErr w:type="spellEnd"/>
      <w:r w:rsidRPr="00197BED">
        <w:rPr>
          <w:i/>
        </w:rPr>
        <w:t xml:space="preserve">, </w:t>
      </w:r>
      <w:proofErr w:type="spellStart"/>
      <w:r w:rsidRPr="00197BED">
        <w:rPr>
          <w:i/>
        </w:rPr>
        <w:t>Zr</w:t>
      </w:r>
      <w:proofErr w:type="spellEnd"/>
      <w:r w:rsidRPr="00197BED">
        <w:rPr>
          <w:i/>
        </w:rPr>
        <w:t xml:space="preserve">, </w:t>
      </w:r>
      <w:proofErr w:type="spellStart"/>
      <w:r w:rsidRPr="00197BED">
        <w:rPr>
          <w:i/>
        </w:rPr>
        <w:t>Pb</w:t>
      </w:r>
      <w:proofErr w:type="spellEnd"/>
      <w:r w:rsidRPr="00197BED">
        <w:rPr>
          <w:i/>
        </w:rPr>
        <w:t xml:space="preserve"> – сфагновый мох</w:t>
      </w:r>
      <w:r>
        <w:rPr>
          <w:i/>
        </w:rPr>
        <w:t xml:space="preserve"> и травянистые растения.</w:t>
      </w:r>
    </w:p>
    <w:p w:rsidR="00B007E4" w:rsidRDefault="00B007E4" w:rsidP="00B007E4">
      <w:pPr>
        <w:pStyle w:val="msonormalmailrucssattributepostfix"/>
        <w:spacing w:before="0" w:beforeAutospacing="0" w:after="0" w:afterAutospacing="0"/>
        <w:ind w:firstLine="284"/>
        <w:jc w:val="both"/>
        <w:rPr>
          <w:rFonts w:eastAsiaTheme="minorHAnsi"/>
          <w:bCs/>
          <w:i/>
          <w:lang w:eastAsia="en-US"/>
        </w:rPr>
      </w:pPr>
      <w:r w:rsidRPr="00197BED">
        <w:rPr>
          <w:rFonts w:eastAsiaTheme="minorHAnsi"/>
          <w:bCs/>
          <w:i/>
          <w:lang w:eastAsia="en-US"/>
        </w:rPr>
        <w:t xml:space="preserve">Ключевые слова: </w:t>
      </w:r>
      <w:proofErr w:type="spellStart"/>
      <w:r>
        <w:rPr>
          <w:rFonts w:eastAsiaTheme="minorHAnsi"/>
          <w:bCs/>
          <w:i/>
          <w:lang w:eastAsia="en-US"/>
        </w:rPr>
        <w:t>катена</w:t>
      </w:r>
      <w:proofErr w:type="spellEnd"/>
      <w:r>
        <w:rPr>
          <w:rFonts w:eastAsiaTheme="minorHAnsi"/>
          <w:bCs/>
          <w:i/>
          <w:lang w:eastAsia="en-US"/>
        </w:rPr>
        <w:t>, микроэлементы</w:t>
      </w:r>
      <w:r w:rsidRPr="00197BED">
        <w:rPr>
          <w:rFonts w:eastAsiaTheme="minorHAnsi"/>
          <w:bCs/>
          <w:i/>
          <w:lang w:eastAsia="en-US"/>
        </w:rPr>
        <w:t xml:space="preserve">, хвойно-широколиственные сообщества, </w:t>
      </w:r>
      <w:r>
        <w:rPr>
          <w:rFonts w:eastAsiaTheme="minorHAnsi"/>
          <w:bCs/>
          <w:i/>
          <w:lang w:eastAsia="en-US"/>
        </w:rPr>
        <w:t xml:space="preserve">биогеохимическая специализация, фотосинтезирующие органы растений, </w:t>
      </w:r>
      <w:r w:rsidRPr="00197BED">
        <w:rPr>
          <w:rFonts w:eastAsiaTheme="minorHAnsi"/>
          <w:bCs/>
          <w:i/>
          <w:lang w:eastAsia="en-US"/>
        </w:rPr>
        <w:t>биоге</w:t>
      </w:r>
      <w:r>
        <w:rPr>
          <w:rFonts w:eastAsiaTheme="minorHAnsi"/>
          <w:bCs/>
          <w:i/>
          <w:lang w:eastAsia="en-US"/>
        </w:rPr>
        <w:t>охимическая активность видов.</w:t>
      </w:r>
    </w:p>
    <w:p w:rsidR="00B007E4" w:rsidRPr="00680217" w:rsidRDefault="00B007E4" w:rsidP="00B007E4">
      <w:pPr>
        <w:pStyle w:val="msonormalmailrucssattributepostfix"/>
        <w:spacing w:before="0" w:beforeAutospacing="0" w:after="0" w:afterAutospacing="0"/>
        <w:ind w:firstLine="284"/>
        <w:jc w:val="both"/>
        <w:rPr>
          <w:rFonts w:eastAsiaTheme="minorHAnsi"/>
          <w:bCs/>
          <w:i/>
          <w:lang w:eastAsia="en-US"/>
        </w:rPr>
      </w:pPr>
    </w:p>
    <w:p w:rsidR="00B007E4" w:rsidRPr="0039088B" w:rsidRDefault="00B007E4" w:rsidP="00B007E4">
      <w:pPr>
        <w:widowControl w:val="0"/>
        <w:spacing w:before="0"/>
        <w:jc w:val="both"/>
      </w:pPr>
      <w:r w:rsidRPr="0039088B">
        <w:rPr>
          <w:b/>
          <w:color w:val="000000"/>
        </w:rPr>
        <w:t xml:space="preserve">Введение. </w:t>
      </w:r>
      <w:r w:rsidRPr="0039088B">
        <w:t>Растения поглощают микроэлементы и накапливают их в своих тканях</w:t>
      </w:r>
      <w:r>
        <w:t xml:space="preserve"> неравномерно и</w:t>
      </w:r>
      <w:r w:rsidRPr="0039088B">
        <w:t xml:space="preserve"> с разной интенсивностью в зависимости от свойств самих элементов, физиологических потребностей, видовой геохимической специализации</w:t>
      </w:r>
      <w:r>
        <w:t xml:space="preserve"> и</w:t>
      </w:r>
      <w:r w:rsidRPr="0039088B">
        <w:t xml:space="preserve"> наличия барьерных механизмов поглощения. При техногенных воздействиях на ландшафт растения адапт</w:t>
      </w:r>
      <w:r>
        <w:t>ируются</w:t>
      </w:r>
      <w:r w:rsidRPr="0039088B">
        <w:t>, защища</w:t>
      </w:r>
      <w:r>
        <w:t>я</w:t>
      </w:r>
      <w:r w:rsidRPr="0039088B">
        <w:t xml:space="preserve"> клеточный метаболизм от вредного влияния избыточных количеств тяжелых металлов. В связи с усилением техногенной нагрузки на ландшафты </w:t>
      </w:r>
      <w:r>
        <w:t xml:space="preserve">все более </w:t>
      </w:r>
      <w:r w:rsidRPr="0039088B">
        <w:t>актуальн</w:t>
      </w:r>
      <w:r>
        <w:t>ы</w:t>
      </w:r>
      <w:r w:rsidRPr="0039088B">
        <w:t xml:space="preserve"> биогеохимически</w:t>
      </w:r>
      <w:r>
        <w:t>е</w:t>
      </w:r>
      <w:r w:rsidRPr="0039088B">
        <w:t xml:space="preserve"> исследовани</w:t>
      </w:r>
      <w:r>
        <w:t>я</w:t>
      </w:r>
      <w:r w:rsidRPr="0039088B">
        <w:t xml:space="preserve"> эталонных природных систем, где можно проследить естественный обмен микроэлементами между живыми и </w:t>
      </w:r>
      <w:proofErr w:type="spellStart"/>
      <w:r w:rsidRPr="0039088B">
        <w:t>биокосными</w:t>
      </w:r>
      <w:proofErr w:type="spellEnd"/>
      <w:r w:rsidRPr="0039088B">
        <w:t xml:space="preserve"> компонентами ландшафта. </w:t>
      </w:r>
      <w:r>
        <w:t>И</w:t>
      </w:r>
      <w:r w:rsidRPr="0039088B">
        <w:t>нтенсивност</w:t>
      </w:r>
      <w:r>
        <w:t>ь</w:t>
      </w:r>
      <w:r w:rsidRPr="0039088B">
        <w:t xml:space="preserve"> поглощения </w:t>
      </w:r>
      <w:proofErr w:type="spellStart"/>
      <w:r w:rsidRPr="0039088B">
        <w:t>Сu</w:t>
      </w:r>
      <w:proofErr w:type="spellEnd"/>
      <w:r w:rsidRPr="0039088B">
        <w:t xml:space="preserve">, </w:t>
      </w:r>
      <w:proofErr w:type="spellStart"/>
      <w:r w:rsidRPr="0039088B">
        <w:t>Zn</w:t>
      </w:r>
      <w:proofErr w:type="spellEnd"/>
      <w:r w:rsidRPr="0039088B">
        <w:t xml:space="preserve">, </w:t>
      </w:r>
      <w:proofErr w:type="spellStart"/>
      <w:r w:rsidRPr="0039088B">
        <w:t>Pb</w:t>
      </w:r>
      <w:proofErr w:type="spellEnd"/>
      <w:r w:rsidRPr="0039088B">
        <w:t xml:space="preserve">, </w:t>
      </w:r>
      <w:proofErr w:type="spellStart"/>
      <w:r w:rsidRPr="0039088B">
        <w:t>Fe</w:t>
      </w:r>
      <w:proofErr w:type="spellEnd"/>
      <w:r w:rsidRPr="0039088B">
        <w:t xml:space="preserve">, </w:t>
      </w:r>
      <w:proofErr w:type="spellStart"/>
      <w:r w:rsidRPr="0039088B">
        <w:t>Mn</w:t>
      </w:r>
      <w:proofErr w:type="spellEnd"/>
      <w:r w:rsidRPr="0039088B">
        <w:t xml:space="preserve"> растениями разных ярусов </w:t>
      </w:r>
      <w:r>
        <w:t>в</w:t>
      </w:r>
      <w:r w:rsidRPr="0039088B">
        <w:t xml:space="preserve"> фоновы</w:t>
      </w:r>
      <w:r>
        <w:t>х</w:t>
      </w:r>
      <w:r w:rsidRPr="0039088B">
        <w:t xml:space="preserve"> лесных ландшафтах </w:t>
      </w:r>
      <w:r>
        <w:t xml:space="preserve">оценивали, например, в </w:t>
      </w:r>
      <w:r w:rsidRPr="0039088B">
        <w:t xml:space="preserve">юго-восточной части Смоленско-Московской возвышенности [1]; </w:t>
      </w:r>
      <w:proofErr w:type="spellStart"/>
      <w:r w:rsidRPr="0039088B">
        <w:t>Zn</w:t>
      </w:r>
      <w:proofErr w:type="spellEnd"/>
      <w:r w:rsidRPr="0039088B">
        <w:t xml:space="preserve"> и </w:t>
      </w:r>
      <w:proofErr w:type="spellStart"/>
      <w:r w:rsidRPr="0039088B">
        <w:t>Сd</w:t>
      </w:r>
      <w:proofErr w:type="spellEnd"/>
      <w:r w:rsidRPr="0039088B">
        <w:t xml:space="preserve"> </w:t>
      </w:r>
      <w:r>
        <w:t xml:space="preserve">– </w:t>
      </w:r>
      <w:r w:rsidRPr="0039088B">
        <w:t>в тканях древесных растений</w:t>
      </w:r>
      <w:r>
        <w:t xml:space="preserve"> </w:t>
      </w:r>
      <w:r w:rsidRPr="0039088B">
        <w:t>юго-запад</w:t>
      </w:r>
      <w:r>
        <w:t>а</w:t>
      </w:r>
      <w:r w:rsidRPr="0039088B">
        <w:t xml:space="preserve"> Мещерской низменности [2], </w:t>
      </w:r>
      <w:proofErr w:type="spellStart"/>
      <w:r w:rsidRPr="0039088B">
        <w:t>Zn</w:t>
      </w:r>
      <w:proofErr w:type="spellEnd"/>
      <w:r w:rsidRPr="0039088B">
        <w:t xml:space="preserve">, </w:t>
      </w:r>
      <w:proofErr w:type="spellStart"/>
      <w:r w:rsidRPr="0039088B">
        <w:t>Cu</w:t>
      </w:r>
      <w:proofErr w:type="spellEnd"/>
      <w:r w:rsidRPr="0039088B">
        <w:t xml:space="preserve">, </w:t>
      </w:r>
      <w:proofErr w:type="spellStart"/>
      <w:r w:rsidRPr="0039088B">
        <w:t>Mn</w:t>
      </w:r>
      <w:proofErr w:type="spellEnd"/>
      <w:r w:rsidRPr="0039088B">
        <w:t xml:space="preserve"> и </w:t>
      </w:r>
      <w:proofErr w:type="spellStart"/>
      <w:r w:rsidRPr="0039088B">
        <w:t>Fe</w:t>
      </w:r>
      <w:proofErr w:type="spellEnd"/>
      <w:r w:rsidRPr="0039088B">
        <w:t xml:space="preserve"> </w:t>
      </w:r>
      <w:r>
        <w:t>–</w:t>
      </w:r>
      <w:r w:rsidRPr="0039088B">
        <w:t xml:space="preserve"> в подзолистых почв</w:t>
      </w:r>
      <w:r>
        <w:t>ах, подстилках и растениях</w:t>
      </w:r>
      <w:r w:rsidRPr="0039088B">
        <w:t xml:space="preserve"> Центрально-лесного заповедника [3].</w:t>
      </w:r>
      <w:r w:rsidRPr="0039088B" w:rsidDel="001B5C04">
        <w:t xml:space="preserve"> </w:t>
      </w:r>
      <w:r w:rsidRPr="0039088B">
        <w:t xml:space="preserve">Настоящее исследование посвящено </w:t>
      </w:r>
      <w:r>
        <w:t xml:space="preserve">анализу биогеохимической дифференциации </w:t>
      </w:r>
      <w:r w:rsidRPr="0039088B">
        <w:t>эталонных лесных ландшафт</w:t>
      </w:r>
      <w:r>
        <w:t>ов</w:t>
      </w:r>
      <w:r w:rsidRPr="0039088B">
        <w:t xml:space="preserve"> Центрально-</w:t>
      </w:r>
      <w:r>
        <w:t>л</w:t>
      </w:r>
      <w:r w:rsidRPr="0039088B">
        <w:t>есного заповедника</w:t>
      </w:r>
      <w:r>
        <w:t xml:space="preserve"> с использованием данных о концентрациях в </w:t>
      </w:r>
      <w:proofErr w:type="spellStart"/>
      <w:r>
        <w:t>фитомассе</w:t>
      </w:r>
      <w:proofErr w:type="spellEnd"/>
      <w:r>
        <w:t xml:space="preserve"> и почвах </w:t>
      </w:r>
      <w:r w:rsidRPr="0039088B">
        <w:t>широко</w:t>
      </w:r>
      <w:r>
        <w:t>го</w:t>
      </w:r>
      <w:r w:rsidRPr="0039088B">
        <w:t xml:space="preserve"> спектр</w:t>
      </w:r>
      <w:r>
        <w:t>а</w:t>
      </w:r>
      <w:r w:rsidRPr="0039088B">
        <w:t xml:space="preserve"> микроэлементов (</w:t>
      </w:r>
      <w:proofErr w:type="spellStart"/>
      <w:r w:rsidRPr="0039088B">
        <w:t>Mn</w:t>
      </w:r>
      <w:proofErr w:type="spellEnd"/>
      <w:r w:rsidRPr="0039088B">
        <w:t xml:space="preserve">, </w:t>
      </w:r>
      <w:proofErr w:type="spellStart"/>
      <w:r w:rsidRPr="0039088B">
        <w:t>Fe</w:t>
      </w:r>
      <w:proofErr w:type="spellEnd"/>
      <w:r w:rsidRPr="0039088B">
        <w:t xml:space="preserve">, </w:t>
      </w:r>
      <w:proofErr w:type="spellStart"/>
      <w:r w:rsidRPr="0039088B">
        <w:t>Cu</w:t>
      </w:r>
      <w:proofErr w:type="spellEnd"/>
      <w:r w:rsidRPr="0039088B">
        <w:t xml:space="preserve">, </w:t>
      </w:r>
      <w:proofErr w:type="spellStart"/>
      <w:r w:rsidRPr="0039088B">
        <w:t>Zn</w:t>
      </w:r>
      <w:proofErr w:type="spellEnd"/>
      <w:r w:rsidRPr="0039088B">
        <w:t xml:space="preserve">, </w:t>
      </w:r>
      <w:proofErr w:type="spellStart"/>
      <w:r w:rsidRPr="0039088B">
        <w:t>Ni</w:t>
      </w:r>
      <w:proofErr w:type="spellEnd"/>
      <w:r w:rsidRPr="0039088B">
        <w:t xml:space="preserve">, </w:t>
      </w:r>
      <w:proofErr w:type="spellStart"/>
      <w:r w:rsidRPr="0039088B">
        <w:t>Ti</w:t>
      </w:r>
      <w:proofErr w:type="spellEnd"/>
      <w:r w:rsidRPr="0039088B">
        <w:t xml:space="preserve">, </w:t>
      </w:r>
      <w:proofErr w:type="spellStart"/>
      <w:r w:rsidRPr="0039088B">
        <w:t>Cr</w:t>
      </w:r>
      <w:proofErr w:type="spellEnd"/>
      <w:r w:rsidRPr="0039088B">
        <w:t xml:space="preserve">, </w:t>
      </w:r>
      <w:proofErr w:type="spellStart"/>
      <w:r w:rsidRPr="0039088B">
        <w:t>Co</w:t>
      </w:r>
      <w:proofErr w:type="spellEnd"/>
      <w:r w:rsidRPr="0039088B">
        <w:t xml:space="preserve">, </w:t>
      </w:r>
      <w:proofErr w:type="spellStart"/>
      <w:r w:rsidRPr="0039088B">
        <w:t>Zr</w:t>
      </w:r>
      <w:proofErr w:type="spellEnd"/>
      <w:r w:rsidRPr="0039088B">
        <w:t xml:space="preserve">, </w:t>
      </w:r>
      <w:proofErr w:type="spellStart"/>
      <w:r w:rsidRPr="0039088B">
        <w:t>Sr</w:t>
      </w:r>
      <w:proofErr w:type="spellEnd"/>
      <w:r w:rsidRPr="0039088B">
        <w:t xml:space="preserve">, </w:t>
      </w:r>
      <w:proofErr w:type="spellStart"/>
      <w:r w:rsidRPr="0039088B">
        <w:t>Pb</w:t>
      </w:r>
      <w:proofErr w:type="spellEnd"/>
      <w:r w:rsidRPr="0039088B">
        <w:t xml:space="preserve"> и </w:t>
      </w:r>
      <w:proofErr w:type="spellStart"/>
      <w:r w:rsidRPr="0039088B">
        <w:t>Сd</w:t>
      </w:r>
      <w:proofErr w:type="spellEnd"/>
      <w:r w:rsidRPr="0039088B">
        <w:t xml:space="preserve">), характеризующихся разной степенью </w:t>
      </w:r>
      <w:proofErr w:type="spellStart"/>
      <w:r w:rsidRPr="0039088B">
        <w:t>би</w:t>
      </w:r>
      <w:r>
        <w:t>офильности</w:t>
      </w:r>
      <w:proofErr w:type="spellEnd"/>
      <w:r>
        <w:t>.</w:t>
      </w:r>
      <w:r w:rsidRPr="0039088B">
        <w:t xml:space="preserve"> В задачи исследования входил</w:t>
      </w:r>
      <w:r>
        <w:t>а оценка</w:t>
      </w:r>
      <w:r w:rsidRPr="0039088B">
        <w:t>:</w:t>
      </w:r>
      <w:r>
        <w:t xml:space="preserve"> (1) </w:t>
      </w:r>
      <w:r w:rsidRPr="00C45514">
        <w:t>специфических черт химического состава различных растений</w:t>
      </w:r>
      <w:r>
        <w:t xml:space="preserve"> и их органов, (2) биогенной миграции элементов в системе «растения </w:t>
      </w:r>
      <w:r w:rsidRPr="0039088B">
        <w:t>– почвы»</w:t>
      </w:r>
      <w:r>
        <w:t xml:space="preserve"> и</w:t>
      </w:r>
      <w:r w:rsidRPr="0039088B">
        <w:t xml:space="preserve"> выявление групп элементов, активно участвующих в биологическом круговороте</w:t>
      </w:r>
      <w:r>
        <w:t>, и (3) вовлечения микроэлементов</w:t>
      </w:r>
      <w:r w:rsidRPr="0039088B">
        <w:t xml:space="preserve"> разны</w:t>
      </w:r>
      <w:r>
        <w:t>ми</w:t>
      </w:r>
      <w:r w:rsidRPr="0039088B">
        <w:t xml:space="preserve"> вид</w:t>
      </w:r>
      <w:r>
        <w:t>ами</w:t>
      </w:r>
      <w:r w:rsidRPr="0039088B">
        <w:t xml:space="preserve"> растений </w:t>
      </w:r>
      <w:r>
        <w:t>в БИК.</w:t>
      </w:r>
      <w:r w:rsidRPr="0039088B">
        <w:t xml:space="preserve"> </w:t>
      </w:r>
    </w:p>
    <w:p w:rsidR="00B007E4" w:rsidRPr="0039088B" w:rsidRDefault="00B007E4" w:rsidP="00B007E4">
      <w:pPr>
        <w:widowControl w:val="0"/>
        <w:spacing w:before="0"/>
        <w:ind w:firstLine="284"/>
        <w:jc w:val="both"/>
      </w:pPr>
      <w:r w:rsidRPr="0039088B">
        <w:rPr>
          <w:b/>
        </w:rPr>
        <w:t>Объект исследования.</w:t>
      </w:r>
      <w:r w:rsidRPr="0039088B">
        <w:t xml:space="preserve"> Объектом исследовани</w:t>
      </w:r>
      <w:r w:rsidR="00326A19">
        <w:t>я является катена в южной части</w:t>
      </w:r>
      <w:r>
        <w:t xml:space="preserve"> </w:t>
      </w:r>
      <w:r w:rsidRPr="0039088B">
        <w:t xml:space="preserve">ядра Центрально-Лесного заповедника, природный комплекс которого является первичным биогеоценотическим покровом моренного рельефа центра </w:t>
      </w:r>
      <w:r>
        <w:t>Восточно-Европейской</w:t>
      </w:r>
      <w:r w:rsidRPr="0039088B">
        <w:t xml:space="preserve"> равнины. </w:t>
      </w:r>
      <w:r>
        <w:t>В</w:t>
      </w:r>
      <w:r w:rsidRPr="0039088B">
        <w:t xml:space="preserve"> заповедник</w:t>
      </w:r>
      <w:r>
        <w:t>е</w:t>
      </w:r>
      <w:r w:rsidRPr="0039088B">
        <w:t xml:space="preserve"> из-за уплощенности рельефа господствуют леса южно-таёжного типа и интразональные болотные и полуболотные ландшафты, а зональные хвойно-широколиственные сообщества занимают 17% площади</w:t>
      </w:r>
      <w:r>
        <w:t xml:space="preserve"> </w:t>
      </w:r>
      <w:r w:rsidRPr="005B09EA">
        <w:t>[4]</w:t>
      </w:r>
      <w:r w:rsidRPr="0039088B">
        <w:t xml:space="preserve">. </w:t>
      </w:r>
    </w:p>
    <w:p w:rsidR="00B007E4" w:rsidRDefault="00B007E4" w:rsidP="00B007E4">
      <w:pPr>
        <w:tabs>
          <w:tab w:val="left" w:pos="3402"/>
        </w:tabs>
        <w:spacing w:before="0"/>
        <w:ind w:firstLine="284"/>
        <w:jc w:val="both"/>
      </w:pPr>
      <w:r w:rsidRPr="0039088B">
        <w:t xml:space="preserve">Изученная </w:t>
      </w:r>
      <w:proofErr w:type="spellStart"/>
      <w:r w:rsidRPr="0039088B">
        <w:t>катена</w:t>
      </w:r>
      <w:proofErr w:type="spellEnd"/>
      <w:r w:rsidRPr="0039088B">
        <w:t xml:space="preserve"> имеет юго-вост</w:t>
      </w:r>
      <w:r>
        <w:t>очную экспозицию и длину 187 м</w:t>
      </w:r>
      <w:r w:rsidRPr="0039088B">
        <w:t>, начинается на вершине моренного холма с абсолютной высотой 265,</w:t>
      </w:r>
      <w:r>
        <w:t xml:space="preserve">3 </w:t>
      </w:r>
      <w:r w:rsidRPr="0039088B">
        <w:t>м (N56°27</w:t>
      </w:r>
      <w:r>
        <w:t>'</w:t>
      </w:r>
      <w:r w:rsidRPr="0039088B">
        <w:t>48.7</w:t>
      </w:r>
      <w:r>
        <w:t>''</w:t>
      </w:r>
      <w:r w:rsidRPr="0039088B">
        <w:t>; E32°57</w:t>
      </w:r>
      <w:r>
        <w:t>'</w:t>
      </w:r>
      <w:r w:rsidRPr="0039088B">
        <w:t xml:space="preserve">45’’), пересекает пологий склон (1–2º) и заканчивается в </w:t>
      </w:r>
      <w:proofErr w:type="spellStart"/>
      <w:r w:rsidRPr="0039088B">
        <w:t>полугидроморфном</w:t>
      </w:r>
      <w:proofErr w:type="spellEnd"/>
      <w:r w:rsidRPr="0039088B">
        <w:t xml:space="preserve"> ландшафте плоской террасовидной поверхности </w:t>
      </w:r>
      <w:r w:rsidRPr="0039088B">
        <w:rPr>
          <w:lang w:val="en-US"/>
        </w:rPr>
        <w:t>c</w:t>
      </w:r>
      <w:r w:rsidRPr="0039088B">
        <w:t xml:space="preserve"> абсолютной высотой </w:t>
      </w:r>
      <w:r w:rsidRPr="0039088B">
        <w:rPr>
          <w:iCs/>
        </w:rPr>
        <w:t>262,5м (N56°27</w:t>
      </w:r>
      <w:r>
        <w:t>'</w:t>
      </w:r>
      <w:r w:rsidRPr="0039088B">
        <w:rPr>
          <w:iCs/>
        </w:rPr>
        <w:t>48,0</w:t>
      </w:r>
      <w:r>
        <w:t>''</w:t>
      </w:r>
      <w:r w:rsidRPr="0039088B">
        <w:rPr>
          <w:iCs/>
        </w:rPr>
        <w:t>; E32°56</w:t>
      </w:r>
      <w:r>
        <w:t>'</w:t>
      </w:r>
      <w:r w:rsidRPr="0039088B">
        <w:rPr>
          <w:iCs/>
        </w:rPr>
        <w:t>21,1</w:t>
      </w:r>
      <w:r>
        <w:t>''</w:t>
      </w:r>
      <w:r w:rsidRPr="0039088B">
        <w:t xml:space="preserve">). </w:t>
      </w:r>
      <w:proofErr w:type="spellStart"/>
      <w:r w:rsidRPr="0039088B">
        <w:t>Катена</w:t>
      </w:r>
      <w:proofErr w:type="spellEnd"/>
      <w:r w:rsidRPr="0039088B">
        <w:t xml:space="preserve"> сложена однородным почвообразующим субстратом − покровными суглинками, подстилаемыми на 90–120 см морен</w:t>
      </w:r>
      <w:r>
        <w:t>ыми</w:t>
      </w:r>
      <w:r w:rsidRPr="0039088B">
        <w:t xml:space="preserve"> остаточно карбонатн</w:t>
      </w:r>
      <w:r>
        <w:t>ыми</w:t>
      </w:r>
      <w:r w:rsidRPr="0039088B">
        <w:t>. Реакция среды почв находится в диапазоне от сильнокислой в верхней части профиля (</w:t>
      </w:r>
      <w:r w:rsidRPr="0039088B">
        <w:rPr>
          <w:lang w:val="en-US"/>
        </w:rPr>
        <w:t>pH</w:t>
      </w:r>
      <w:r w:rsidRPr="0039088B">
        <w:t xml:space="preserve">=4,2) до </w:t>
      </w:r>
      <w:r>
        <w:t>слабо</w:t>
      </w:r>
      <w:r w:rsidRPr="0039088B">
        <w:t xml:space="preserve">щелочной </w:t>
      </w:r>
      <w:r w:rsidRPr="0039088B">
        <w:lastRenderedPageBreak/>
        <w:t xml:space="preserve">в </w:t>
      </w:r>
      <w:r>
        <w:t>породе</w:t>
      </w:r>
      <w:r w:rsidRPr="0039088B">
        <w:t xml:space="preserve"> (</w:t>
      </w:r>
      <w:r w:rsidRPr="0039088B">
        <w:rPr>
          <w:lang w:val="en-US"/>
        </w:rPr>
        <w:t>pH</w:t>
      </w:r>
      <w:r w:rsidRPr="0039088B">
        <w:t xml:space="preserve">=7,5). Несмотря на небольшие уклоны и малую протяженность, вдоль </w:t>
      </w:r>
      <w:proofErr w:type="spellStart"/>
      <w:r w:rsidRPr="0039088B">
        <w:t>катены</w:t>
      </w:r>
      <w:proofErr w:type="spellEnd"/>
      <w:r w:rsidRPr="0039088B">
        <w:t xml:space="preserve"> хорошо выражена дифференциация почвенно-растительного покрова. Смена почв и растительных сообществ вдоль </w:t>
      </w:r>
      <w:proofErr w:type="spellStart"/>
      <w:r w:rsidRPr="0039088B">
        <w:t>катены</w:t>
      </w:r>
      <w:proofErr w:type="spellEnd"/>
      <w:r w:rsidRPr="0039088B">
        <w:t xml:space="preserve"> связана с изменением гидротермических условий.</w:t>
      </w:r>
    </w:p>
    <w:p w:rsidR="00B007E4" w:rsidRPr="0039088B" w:rsidRDefault="00B007E4" w:rsidP="00B007E4">
      <w:pPr>
        <w:tabs>
          <w:tab w:val="left" w:pos="3402"/>
        </w:tabs>
        <w:spacing w:before="0"/>
        <w:ind w:firstLine="284"/>
        <w:jc w:val="both"/>
        <w:rPr>
          <w:iCs/>
        </w:rPr>
      </w:pPr>
      <w:r w:rsidRPr="0039088B">
        <w:t xml:space="preserve">В относительно хорошо дренируемых позициях в автономном ландшафте </w:t>
      </w:r>
      <w:proofErr w:type="spellStart"/>
      <w:r w:rsidRPr="0039088B">
        <w:t>катены</w:t>
      </w:r>
      <w:proofErr w:type="spellEnd"/>
      <w:r w:rsidRPr="0039088B">
        <w:t xml:space="preserve"> (ЦЛЗ-0) сформировались </w:t>
      </w:r>
      <w:proofErr w:type="spellStart"/>
      <w:r w:rsidRPr="0039088B">
        <w:t>грубогумусированные</w:t>
      </w:r>
      <w:proofErr w:type="spellEnd"/>
      <w:r w:rsidRPr="0039088B">
        <w:t xml:space="preserve"> </w:t>
      </w:r>
      <w:proofErr w:type="spellStart"/>
      <w:r w:rsidRPr="0039088B">
        <w:t>палево</w:t>
      </w:r>
      <w:proofErr w:type="spellEnd"/>
      <w:r w:rsidRPr="0039088B">
        <w:t>–</w:t>
      </w:r>
      <w:proofErr w:type="spellStart"/>
      <w:r w:rsidRPr="0039088B">
        <w:t>глубокоподзолистые</w:t>
      </w:r>
      <w:proofErr w:type="spellEnd"/>
      <w:r w:rsidRPr="0039088B">
        <w:t xml:space="preserve"> почвы, на которых произрастает липово-еловое лещиново-кисличное растительное сообщество с кленом остролистным </w:t>
      </w:r>
      <w:proofErr w:type="spellStart"/>
      <w:r w:rsidRPr="0039088B">
        <w:rPr>
          <w:i/>
        </w:rPr>
        <w:t>Ácer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</w:rPr>
        <w:t>platanoídes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rPr>
          <w:i/>
        </w:rPr>
        <w:t>.</w:t>
      </w:r>
      <w:r w:rsidRPr="0039088B">
        <w:t xml:space="preserve"> и вязом шершавым </w:t>
      </w:r>
      <w:proofErr w:type="spellStart"/>
      <w:r w:rsidRPr="0039088B">
        <w:rPr>
          <w:i/>
        </w:rPr>
        <w:t>Ulmus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</w:rPr>
        <w:t>glábra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Huds</w:t>
      </w:r>
      <w:r w:rsidRPr="0039088B">
        <w:rPr>
          <w:i/>
        </w:rPr>
        <w:t>.</w:t>
      </w:r>
      <w:r w:rsidRPr="0039088B">
        <w:t xml:space="preserve">; подлесок представлен лещиной обыкновенной </w:t>
      </w:r>
      <w:proofErr w:type="spellStart"/>
      <w:r w:rsidRPr="0039088B">
        <w:rPr>
          <w:i/>
          <w:lang w:val="en-US"/>
        </w:rPr>
        <w:t>Corylus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avellana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t xml:space="preserve">.; в напочвенном покрове в месте заложения разреза доминирует кислица </w:t>
      </w:r>
      <w:r w:rsidRPr="0039088B">
        <w:rPr>
          <w:iCs/>
          <w:lang w:val="en-US"/>
        </w:rPr>
        <w:t>Oxalis</w:t>
      </w:r>
      <w:r w:rsidRPr="0039088B">
        <w:rPr>
          <w:iCs/>
        </w:rPr>
        <w:t xml:space="preserve"> </w:t>
      </w:r>
      <w:proofErr w:type="spellStart"/>
      <w:r w:rsidRPr="0039088B">
        <w:rPr>
          <w:iCs/>
          <w:lang w:val="en-US"/>
        </w:rPr>
        <w:t>acetosella</w:t>
      </w:r>
      <w:proofErr w:type="spellEnd"/>
      <w:r w:rsidRPr="0039088B">
        <w:rPr>
          <w:iCs/>
        </w:rPr>
        <w:t xml:space="preserve"> </w:t>
      </w:r>
      <w:r w:rsidRPr="0039088B">
        <w:rPr>
          <w:iCs/>
          <w:lang w:val="en-US"/>
        </w:rPr>
        <w:t>L</w:t>
      </w:r>
      <w:r w:rsidRPr="0039088B">
        <w:rPr>
          <w:iCs/>
        </w:rPr>
        <w:t>.</w:t>
      </w:r>
      <w:r w:rsidRPr="0039088B">
        <w:t xml:space="preserve">, также произрастает орляк обыкновенный </w:t>
      </w:r>
      <w:r w:rsidRPr="0039088B">
        <w:rPr>
          <w:i/>
          <w:lang w:val="en-US"/>
        </w:rPr>
        <w:t>Pter</w:t>
      </w:r>
      <w:r w:rsidRPr="0039088B">
        <w:rPr>
          <w:i/>
        </w:rPr>
        <w:t>í</w:t>
      </w:r>
      <w:proofErr w:type="spellStart"/>
      <w:r w:rsidRPr="0039088B">
        <w:rPr>
          <w:i/>
          <w:lang w:val="en-US"/>
        </w:rPr>
        <w:t>dium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aquil</w:t>
      </w:r>
      <w:proofErr w:type="spellEnd"/>
      <w:r w:rsidRPr="0039088B">
        <w:rPr>
          <w:i/>
        </w:rPr>
        <w:t>í</w:t>
      </w:r>
      <w:proofErr w:type="spellStart"/>
      <w:r w:rsidRPr="0039088B">
        <w:rPr>
          <w:i/>
          <w:lang w:val="en-US"/>
        </w:rPr>
        <w:t>num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t>., присутствуют неморальные виды (</w:t>
      </w:r>
      <w:proofErr w:type="spellStart"/>
      <w:r w:rsidRPr="0039088B">
        <w:rPr>
          <w:i/>
          <w:lang w:val="en-US"/>
        </w:rPr>
        <w:t>Stellaria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holostea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rPr>
          <w:i/>
        </w:rPr>
        <w:t xml:space="preserve">., </w:t>
      </w:r>
      <w:r w:rsidRPr="0039088B">
        <w:rPr>
          <w:i/>
          <w:lang w:val="en-US"/>
        </w:rPr>
        <w:t>An</w:t>
      </w:r>
      <w:r w:rsidRPr="0039088B">
        <w:rPr>
          <w:i/>
        </w:rPr>
        <w:t>é</w:t>
      </w:r>
      <w:proofErr w:type="spellStart"/>
      <w:r w:rsidRPr="0039088B">
        <w:rPr>
          <w:i/>
          <w:lang w:val="en-US"/>
        </w:rPr>
        <w:t>mone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nemor</w:t>
      </w:r>
      <w:proofErr w:type="spellEnd"/>
      <w:r w:rsidRPr="0039088B">
        <w:rPr>
          <w:i/>
        </w:rPr>
        <w:t>ó</w:t>
      </w:r>
      <w:proofErr w:type="spellStart"/>
      <w:r w:rsidRPr="0039088B">
        <w:rPr>
          <w:i/>
          <w:lang w:val="en-US"/>
        </w:rPr>
        <w:t>sa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rPr>
          <w:i/>
        </w:rPr>
        <w:t xml:space="preserve">., </w:t>
      </w:r>
      <w:r w:rsidRPr="0039088B">
        <w:rPr>
          <w:i/>
          <w:lang w:val="en-US"/>
        </w:rPr>
        <w:t>L</w:t>
      </w:r>
      <w:r w:rsidRPr="0039088B">
        <w:rPr>
          <w:i/>
        </w:rPr>
        <w:t>á</w:t>
      </w:r>
      <w:r w:rsidRPr="0039088B">
        <w:rPr>
          <w:i/>
          <w:lang w:val="en-US"/>
        </w:rPr>
        <w:t>mium</w:t>
      </w:r>
      <w:r w:rsidRPr="0039088B">
        <w:rPr>
          <w:i/>
        </w:rPr>
        <w:t xml:space="preserve"> </w:t>
      </w:r>
      <w:r w:rsidRPr="0039088B">
        <w:rPr>
          <w:i/>
          <w:lang w:val="en-US"/>
        </w:rPr>
        <w:t>gale</w:t>
      </w:r>
      <w:r w:rsidRPr="0039088B">
        <w:rPr>
          <w:i/>
        </w:rPr>
        <w:t>ó</w:t>
      </w:r>
      <w:r w:rsidRPr="0039088B">
        <w:rPr>
          <w:i/>
          <w:lang w:val="en-US"/>
        </w:rPr>
        <w:t>bdolon</w:t>
      </w:r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t xml:space="preserve">). </w:t>
      </w:r>
    </w:p>
    <w:p w:rsidR="00B007E4" w:rsidRPr="0039088B" w:rsidRDefault="00B007E4" w:rsidP="00B007E4">
      <w:pPr>
        <w:tabs>
          <w:tab w:val="left" w:pos="3402"/>
        </w:tabs>
        <w:spacing w:before="0"/>
        <w:ind w:firstLine="284"/>
        <w:jc w:val="both"/>
      </w:pPr>
      <w:r w:rsidRPr="0039088B">
        <w:t xml:space="preserve">На выпуклом склоне, в </w:t>
      </w:r>
      <w:proofErr w:type="spellStart"/>
      <w:r w:rsidRPr="0039088B">
        <w:t>трансэлювиальном</w:t>
      </w:r>
      <w:proofErr w:type="spellEnd"/>
      <w:r w:rsidRPr="0039088B">
        <w:t xml:space="preserve"> ландшафте (ЦЛЗ-1) формируются маломощные дерново-палево-</w:t>
      </w:r>
      <w:proofErr w:type="spellStart"/>
      <w:r w:rsidRPr="0039088B">
        <w:t>глубокоподзолистые</w:t>
      </w:r>
      <w:proofErr w:type="spellEnd"/>
      <w:r w:rsidRPr="0039088B">
        <w:t xml:space="preserve"> почвы, на которых произрастает елово-широколиственный лес. Среди широколиственных пород преобладает липа сердцевидная; </w:t>
      </w:r>
      <w:r>
        <w:t xml:space="preserve">в </w:t>
      </w:r>
      <w:r w:rsidRPr="0039088B">
        <w:t xml:space="preserve">подлеске доминирует лещина обыкновенная, встречается жимолость лесная </w:t>
      </w:r>
      <w:proofErr w:type="spellStart"/>
      <w:r w:rsidRPr="0039088B">
        <w:rPr>
          <w:i/>
          <w:iCs/>
        </w:rPr>
        <w:t>Lonicera</w:t>
      </w:r>
      <w:proofErr w:type="spellEnd"/>
      <w:r w:rsidRPr="0039088B">
        <w:rPr>
          <w:i/>
          <w:iCs/>
        </w:rPr>
        <w:t xml:space="preserve"> </w:t>
      </w:r>
      <w:proofErr w:type="spellStart"/>
      <w:r w:rsidRPr="0039088B">
        <w:rPr>
          <w:i/>
          <w:iCs/>
        </w:rPr>
        <w:t>xylosteum</w:t>
      </w:r>
      <w:proofErr w:type="spellEnd"/>
      <w:r w:rsidRPr="0039088B">
        <w:rPr>
          <w:i/>
          <w:iCs/>
        </w:rPr>
        <w:t xml:space="preserve"> </w:t>
      </w:r>
      <w:r w:rsidRPr="0039088B">
        <w:rPr>
          <w:i/>
          <w:iCs/>
          <w:lang w:val="en-US"/>
        </w:rPr>
        <w:t>L</w:t>
      </w:r>
      <w:r w:rsidRPr="0039088B">
        <w:rPr>
          <w:i/>
          <w:iCs/>
        </w:rPr>
        <w:t>.</w:t>
      </w:r>
      <w:r w:rsidRPr="0039088B">
        <w:t>; напочвенный покров в основном представлен неморальными видами (</w:t>
      </w:r>
      <w:r w:rsidRPr="0039088B">
        <w:rPr>
          <w:i/>
          <w:lang w:val="en-US"/>
        </w:rPr>
        <w:t>Hepatica</w:t>
      </w:r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nobilis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rPr>
          <w:i/>
        </w:rPr>
        <w:t xml:space="preserve">., </w:t>
      </w:r>
      <w:proofErr w:type="spellStart"/>
      <w:r w:rsidRPr="0039088B">
        <w:rPr>
          <w:i/>
          <w:lang w:val="en-US"/>
        </w:rPr>
        <w:t>Galium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odoratum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rPr>
          <w:i/>
        </w:rPr>
        <w:t xml:space="preserve">., </w:t>
      </w:r>
      <w:r w:rsidRPr="0039088B">
        <w:rPr>
          <w:i/>
          <w:lang w:val="en-US"/>
        </w:rPr>
        <w:t>L</w:t>
      </w:r>
      <w:r w:rsidRPr="0039088B">
        <w:rPr>
          <w:i/>
        </w:rPr>
        <w:t>á</w:t>
      </w:r>
      <w:r w:rsidRPr="0039088B">
        <w:rPr>
          <w:i/>
          <w:lang w:val="en-US"/>
        </w:rPr>
        <w:t>mium</w:t>
      </w:r>
      <w:r w:rsidRPr="0039088B">
        <w:rPr>
          <w:i/>
        </w:rPr>
        <w:t xml:space="preserve"> </w:t>
      </w:r>
      <w:r w:rsidRPr="0039088B">
        <w:rPr>
          <w:i/>
          <w:lang w:val="en-US"/>
        </w:rPr>
        <w:t>gale</w:t>
      </w:r>
      <w:r w:rsidRPr="0039088B">
        <w:rPr>
          <w:i/>
        </w:rPr>
        <w:t>ó</w:t>
      </w:r>
      <w:r w:rsidRPr="0039088B">
        <w:rPr>
          <w:i/>
          <w:lang w:val="en-US"/>
        </w:rPr>
        <w:t>bdolon</w:t>
      </w:r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rPr>
          <w:i/>
        </w:rPr>
        <w:t xml:space="preserve"> Á</w:t>
      </w:r>
      <w:proofErr w:type="spellStart"/>
      <w:r w:rsidRPr="0039088B">
        <w:rPr>
          <w:i/>
          <w:lang w:val="en-US"/>
        </w:rPr>
        <w:t>sarum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europa</w:t>
      </w:r>
      <w:proofErr w:type="spellEnd"/>
      <w:r w:rsidRPr="0039088B">
        <w:rPr>
          <w:i/>
        </w:rPr>
        <w:t>é</w:t>
      </w:r>
      <w:r w:rsidRPr="0039088B">
        <w:rPr>
          <w:i/>
          <w:lang w:val="en-US"/>
        </w:rPr>
        <w:t>um</w:t>
      </w:r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rPr>
          <w:i/>
        </w:rPr>
        <w:t xml:space="preserve">., </w:t>
      </w:r>
      <w:r w:rsidRPr="0039088B">
        <w:rPr>
          <w:i/>
          <w:lang w:val="en-US"/>
        </w:rPr>
        <w:t>Pulmon</w:t>
      </w:r>
      <w:r w:rsidRPr="0039088B">
        <w:rPr>
          <w:i/>
        </w:rPr>
        <w:t>á</w:t>
      </w:r>
      <w:r w:rsidRPr="0039088B">
        <w:rPr>
          <w:i/>
          <w:lang w:val="en-US"/>
        </w:rPr>
        <w:t>ria</w:t>
      </w:r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obsc</w:t>
      </w:r>
      <w:proofErr w:type="spellEnd"/>
      <w:r w:rsidRPr="0039088B">
        <w:rPr>
          <w:i/>
        </w:rPr>
        <w:t>ú</w:t>
      </w:r>
      <w:proofErr w:type="spellStart"/>
      <w:r w:rsidRPr="0039088B">
        <w:rPr>
          <w:i/>
          <w:lang w:val="en-US"/>
        </w:rPr>
        <w:t>ra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t xml:space="preserve">.); в травяно-кустарничковом ярусе также произрастают: орляк обыкновенный, хвощ лесной </w:t>
      </w:r>
      <w:r w:rsidRPr="0039088B">
        <w:rPr>
          <w:i/>
          <w:lang w:val="en-US"/>
        </w:rPr>
        <w:t>Equis</w:t>
      </w:r>
      <w:r w:rsidRPr="0039088B">
        <w:rPr>
          <w:i/>
        </w:rPr>
        <w:t>é</w:t>
      </w:r>
      <w:r w:rsidRPr="0039088B">
        <w:rPr>
          <w:i/>
          <w:lang w:val="en-US"/>
        </w:rPr>
        <w:t>tum</w:t>
      </w:r>
      <w:r w:rsidRPr="0039088B">
        <w:rPr>
          <w:i/>
        </w:rPr>
        <w:t xml:space="preserve"> </w:t>
      </w:r>
      <w:proofErr w:type="spellStart"/>
      <w:r w:rsidRPr="0039088B">
        <w:rPr>
          <w:i/>
          <w:lang w:val="en-US"/>
        </w:rPr>
        <w:t>sylv</w:t>
      </w:r>
      <w:proofErr w:type="spellEnd"/>
      <w:r w:rsidRPr="0039088B">
        <w:rPr>
          <w:i/>
        </w:rPr>
        <w:t>á</w:t>
      </w:r>
      <w:proofErr w:type="spellStart"/>
      <w:r w:rsidRPr="0039088B">
        <w:rPr>
          <w:i/>
          <w:lang w:val="en-US"/>
        </w:rPr>
        <w:t>ticumL</w:t>
      </w:r>
      <w:proofErr w:type="spellEnd"/>
      <w:r w:rsidRPr="0039088B">
        <w:t xml:space="preserve">., кислица обыкновенная, встречается черника обыкновенная </w:t>
      </w:r>
      <w:proofErr w:type="spellStart"/>
      <w:r w:rsidRPr="0039088B">
        <w:rPr>
          <w:i/>
        </w:rPr>
        <w:t>Vaccínium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</w:rPr>
        <w:t>myrtíllus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t xml:space="preserve">. </w:t>
      </w:r>
    </w:p>
    <w:p w:rsidR="00B007E4" w:rsidRPr="001902CB" w:rsidRDefault="00B007E4" w:rsidP="00B007E4">
      <w:pPr>
        <w:tabs>
          <w:tab w:val="left" w:pos="3402"/>
        </w:tabs>
        <w:spacing w:before="0"/>
        <w:ind w:firstLine="284"/>
        <w:jc w:val="both"/>
      </w:pPr>
      <w:r w:rsidRPr="0039088B">
        <w:t xml:space="preserve">У подножья склона (разрез ЦЛЗ-3/1) в </w:t>
      </w:r>
      <w:proofErr w:type="spellStart"/>
      <w:r w:rsidRPr="0039088B">
        <w:t>трансэлювиально-супераквальном</w:t>
      </w:r>
      <w:proofErr w:type="spellEnd"/>
      <w:r w:rsidRPr="0039088B">
        <w:t xml:space="preserve"> ландшафте на </w:t>
      </w:r>
      <w:proofErr w:type="spellStart"/>
      <w:r w:rsidRPr="0039088B">
        <w:t>мелкоторфянисто</w:t>
      </w:r>
      <w:proofErr w:type="spellEnd"/>
      <w:r w:rsidRPr="0039088B">
        <w:t xml:space="preserve">-перегнойных </w:t>
      </w:r>
      <w:proofErr w:type="spellStart"/>
      <w:r w:rsidRPr="0039088B">
        <w:t>глубокоподзолистых</w:t>
      </w:r>
      <w:proofErr w:type="spellEnd"/>
      <w:r w:rsidRPr="0039088B">
        <w:t xml:space="preserve"> профильно-</w:t>
      </w:r>
      <w:proofErr w:type="spellStart"/>
      <w:r w:rsidRPr="0039088B">
        <w:t>оглеенных</w:t>
      </w:r>
      <w:proofErr w:type="spellEnd"/>
      <w:r w:rsidRPr="0039088B">
        <w:t xml:space="preserve"> почвах произрастает чернично-сфагновый ельник с подростом из липы сердцевидной и клена остролистного; подлесок представлен рябиной обыкновенной </w:t>
      </w:r>
      <w:proofErr w:type="spellStart"/>
      <w:r w:rsidRPr="0039088B">
        <w:rPr>
          <w:i/>
        </w:rPr>
        <w:t>Sorbus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</w:rPr>
        <w:t>aucuparia</w:t>
      </w:r>
      <w:proofErr w:type="spellEnd"/>
      <w:r w:rsidRPr="0039088B">
        <w:rPr>
          <w:i/>
        </w:rPr>
        <w:t xml:space="preserve"> L</w:t>
      </w:r>
      <w:r w:rsidRPr="0039088B">
        <w:t xml:space="preserve">.; в травяно-кустарничковом ярусе доминирует черника обыкновенная; мозаичный моховой покров из Сфагнума </w:t>
      </w:r>
      <w:proofErr w:type="spellStart"/>
      <w:r w:rsidRPr="0039088B">
        <w:rPr>
          <w:i/>
        </w:rPr>
        <w:t>Sphagnum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</w:rPr>
        <w:t>Sp</w:t>
      </w:r>
      <w:proofErr w:type="spellEnd"/>
      <w:r w:rsidRPr="0039088B">
        <w:t xml:space="preserve">. При нарастании увлажненности (разрез ЦЛЗ-3) формируются </w:t>
      </w:r>
      <w:proofErr w:type="spellStart"/>
      <w:r w:rsidRPr="0039088B">
        <w:t>мелкоторфянистые</w:t>
      </w:r>
      <w:proofErr w:type="spellEnd"/>
      <w:r w:rsidRPr="0039088B">
        <w:t xml:space="preserve"> </w:t>
      </w:r>
      <w:proofErr w:type="spellStart"/>
      <w:r w:rsidRPr="0039088B">
        <w:t>глубокоподзолистые</w:t>
      </w:r>
      <w:proofErr w:type="spellEnd"/>
      <w:r w:rsidRPr="0039088B">
        <w:t xml:space="preserve"> профильно-</w:t>
      </w:r>
      <w:proofErr w:type="spellStart"/>
      <w:r w:rsidRPr="0039088B">
        <w:t>оглеенные</w:t>
      </w:r>
      <w:proofErr w:type="spellEnd"/>
      <w:r w:rsidRPr="0039088B">
        <w:t xml:space="preserve"> почвы, на которых произрастает </w:t>
      </w:r>
      <w:proofErr w:type="spellStart"/>
      <w:r w:rsidRPr="0039088B">
        <w:t>кислично</w:t>
      </w:r>
      <w:proofErr w:type="spellEnd"/>
      <w:r w:rsidRPr="0039088B">
        <w:t xml:space="preserve">-сфагновый ельник с ивой козьей </w:t>
      </w:r>
      <w:proofErr w:type="spellStart"/>
      <w:r w:rsidRPr="0039088B">
        <w:rPr>
          <w:i/>
        </w:rPr>
        <w:t>Sálix</w:t>
      </w:r>
      <w:proofErr w:type="spellEnd"/>
      <w:r w:rsidRPr="0039088B">
        <w:rPr>
          <w:i/>
        </w:rPr>
        <w:t xml:space="preserve"> </w:t>
      </w:r>
      <w:proofErr w:type="spellStart"/>
      <w:r w:rsidRPr="0039088B">
        <w:rPr>
          <w:i/>
        </w:rPr>
        <w:t>cáprea</w:t>
      </w:r>
      <w:proofErr w:type="spellEnd"/>
      <w:r w:rsidRPr="0039088B">
        <w:rPr>
          <w:i/>
        </w:rPr>
        <w:t xml:space="preserve"> </w:t>
      </w:r>
      <w:r w:rsidRPr="0039088B">
        <w:rPr>
          <w:i/>
          <w:lang w:val="en-US"/>
        </w:rPr>
        <w:t>L</w:t>
      </w:r>
      <w:r w:rsidRPr="0039088B">
        <w:t>.; присутствует обильный подрост ели обыкновенной и липы сердцевидной</w:t>
      </w:r>
      <w:r>
        <w:t xml:space="preserve"> и</w:t>
      </w:r>
      <w:r w:rsidRPr="0039088B">
        <w:t xml:space="preserve"> малочисленный </w:t>
      </w:r>
      <w:r w:rsidRPr="00197BED">
        <w:rPr>
          <w:i/>
        </w:rPr>
        <w:t xml:space="preserve">– </w:t>
      </w:r>
      <w:r w:rsidRPr="0039088B">
        <w:t xml:space="preserve">клена остролистного. Подлесок представлен рябиной обыкновенной. На </w:t>
      </w:r>
      <w:r w:rsidRPr="001902CB">
        <w:t>приствольных повышениях произрастает кислица обыкновенная, также черника обыкновенная и орляк обыкновенный; моховой ярус представлен Сфагнумом.</w:t>
      </w:r>
    </w:p>
    <w:p w:rsidR="00B007E4" w:rsidRPr="001902CB" w:rsidRDefault="00B007E4" w:rsidP="00B007E4">
      <w:pPr>
        <w:spacing w:before="0"/>
        <w:ind w:firstLine="284"/>
        <w:jc w:val="both"/>
        <w:rPr>
          <w:color w:val="000000"/>
        </w:rPr>
      </w:pPr>
      <w:r w:rsidRPr="001902CB">
        <w:rPr>
          <w:b/>
        </w:rPr>
        <w:t>Материалы и методы исследования.</w:t>
      </w:r>
      <w:r w:rsidRPr="001902CB">
        <w:t xml:space="preserve"> В растениях</w:t>
      </w:r>
      <w:r>
        <w:t xml:space="preserve"> (70 проб, 19 видов)</w:t>
      </w:r>
      <w:r w:rsidRPr="001902CB">
        <w:t xml:space="preserve"> и почвах</w:t>
      </w:r>
      <w:r>
        <w:t xml:space="preserve"> (30 образцов)</w:t>
      </w:r>
      <w:r w:rsidRPr="001902CB">
        <w:t xml:space="preserve"> определял</w:t>
      </w:r>
      <w:r>
        <w:t>и</w:t>
      </w:r>
      <w:r w:rsidRPr="001902CB">
        <w:t xml:space="preserve"> валовое содержание элементов в аналитическом центре Всероссийского научно-исследовательского института минерального сырья им. Федоровского (ВИМС) </w:t>
      </w:r>
      <w:r>
        <w:t xml:space="preserve">масс-спектрометрическим </w:t>
      </w:r>
      <w:r w:rsidRPr="001902CB">
        <w:t>методом на спектрометре Elan-6100</w:t>
      </w:r>
      <w:r w:rsidRPr="001902CB">
        <w:rPr>
          <w:color w:val="000000"/>
        </w:rPr>
        <w:t xml:space="preserve">. </w:t>
      </w:r>
    </w:p>
    <w:p w:rsidR="00B007E4" w:rsidRPr="001902CB" w:rsidRDefault="00B007E4" w:rsidP="00B007E4">
      <w:pPr>
        <w:spacing w:before="0"/>
        <w:ind w:firstLine="284"/>
        <w:jc w:val="both"/>
      </w:pPr>
      <w:r w:rsidRPr="001902CB">
        <w:t>Для выявления специфических черт химического состава растений вычислял</w:t>
      </w:r>
      <w:r>
        <w:t>и</w:t>
      </w:r>
      <w:r w:rsidRPr="001902CB">
        <w:t xml:space="preserve"> относительно</w:t>
      </w:r>
      <w:r>
        <w:t>е</w:t>
      </w:r>
      <w:r w:rsidRPr="001902CB">
        <w:t xml:space="preserve"> содержани</w:t>
      </w:r>
      <w:r>
        <w:t>е</w:t>
      </w:r>
      <w:r w:rsidRPr="001902CB">
        <w:t xml:space="preserve"> химических эл</w:t>
      </w:r>
      <w:r>
        <w:t xml:space="preserve">ементов в видах растений ОСВР (отношение </w:t>
      </w:r>
      <w:r w:rsidRPr="008E5E08">
        <w:t xml:space="preserve">содержания элемента в изучаемом виде </w:t>
      </w:r>
      <w:r>
        <w:t>к содержанию</w:t>
      </w:r>
      <w:r w:rsidRPr="008E5E08">
        <w:t xml:space="preserve"> в </w:t>
      </w:r>
      <w:r w:rsidRPr="00EC78CB">
        <w:t>листья</w:t>
      </w:r>
      <w:r>
        <w:t>х</w:t>
      </w:r>
      <w:r w:rsidRPr="00EC78CB">
        <w:t xml:space="preserve"> липы сердцевидной</w:t>
      </w:r>
      <w:r>
        <w:t>)</w:t>
      </w:r>
      <w:r w:rsidRPr="001902CB">
        <w:t>, а для анализа распределения химических элементов по органам</w:t>
      </w:r>
      <w:r>
        <w:t xml:space="preserve"> </w:t>
      </w:r>
      <w:r w:rsidRPr="001902CB">
        <w:rPr>
          <w:i/>
        </w:rPr>
        <w:t xml:space="preserve">– </w:t>
      </w:r>
      <w:r w:rsidRPr="001902CB">
        <w:t>показатель относительного содержание элементов</w:t>
      </w:r>
      <w:r>
        <w:t xml:space="preserve"> в золе органов растений ОСОР (</w:t>
      </w:r>
      <w:r w:rsidRPr="00EB600C">
        <w:t>отношение содержание элемента в изучаемом органе растения к содержанию в эталонном органе</w:t>
      </w:r>
      <w:r>
        <w:t xml:space="preserve"> – крупных ветках) [</w:t>
      </w:r>
      <w:r w:rsidRPr="005B09EA">
        <w:t>5</w:t>
      </w:r>
      <w:r w:rsidRPr="001902CB">
        <w:t>]. Для оценки активности извлечения микроэлементов из почв растениями рас</w:t>
      </w:r>
      <w:r>
        <w:t>считывали</w:t>
      </w:r>
      <w:r w:rsidRPr="001902CB">
        <w:t xml:space="preserve"> коэффициент биологического поглощения </w:t>
      </w:r>
      <w:r w:rsidRPr="001902CB">
        <w:rPr>
          <w:lang w:val="en-US"/>
        </w:rPr>
        <w:t>Ax</w:t>
      </w:r>
      <w:r>
        <w:t xml:space="preserve"> (</w:t>
      </w:r>
      <w:r w:rsidRPr="0039088B">
        <w:rPr>
          <w:color w:val="000000"/>
        </w:rPr>
        <w:t>для отдельных видов древесного яруса и всей совокупности растений травянистого яруса</w:t>
      </w:r>
      <w:r>
        <w:rPr>
          <w:color w:val="000000"/>
        </w:rPr>
        <w:t xml:space="preserve">; по содержанию </w:t>
      </w:r>
      <w:r w:rsidRPr="009A017A">
        <w:rPr>
          <w:color w:val="000000"/>
        </w:rPr>
        <w:t>в золе растений к среднему валовому содержанию в почв</w:t>
      </w:r>
      <w:r>
        <w:rPr>
          <w:color w:val="000000"/>
        </w:rPr>
        <w:t>е</w:t>
      </w:r>
      <w:r>
        <w:t>)</w:t>
      </w:r>
      <w:r w:rsidRPr="001902CB">
        <w:t xml:space="preserve">, суммарной интенсивности вовлечения элементов в </w:t>
      </w:r>
      <w:r>
        <w:t>БИК</w:t>
      </w:r>
      <w:r w:rsidRPr="001902CB">
        <w:t xml:space="preserve"> различными видами растений </w:t>
      </w:r>
      <w:r>
        <w:t>–</w:t>
      </w:r>
      <w:r w:rsidRPr="001902CB">
        <w:t xml:space="preserve"> показатель биогеохим</w:t>
      </w:r>
      <w:r>
        <w:t xml:space="preserve">ической активности вида (БХА – сумма </w:t>
      </w:r>
      <w:r w:rsidRPr="00C07BA9">
        <w:t>коэффициентов</w:t>
      </w:r>
      <w:r w:rsidRPr="0039088B">
        <w:t xml:space="preserve"> биологического поглощения отдельных элементов</w:t>
      </w:r>
      <w:r>
        <w:t>) [</w:t>
      </w:r>
      <w:r w:rsidRPr="005B09EA">
        <w:t>6</w:t>
      </w:r>
      <w:r w:rsidRPr="001902CB">
        <w:t>]</w:t>
      </w:r>
      <w:r w:rsidRPr="0039088B">
        <w:t>.</w:t>
      </w:r>
      <w:r>
        <w:t xml:space="preserve"> Показатель БХА</w:t>
      </w:r>
      <w:r w:rsidRPr="0039088B">
        <w:t xml:space="preserve"> рассчит</w:t>
      </w:r>
      <w:r>
        <w:t xml:space="preserve">ан </w:t>
      </w:r>
      <w:r w:rsidRPr="0039088B">
        <w:t xml:space="preserve">для разных видов растений, составляющих растительные сообщества </w:t>
      </w:r>
      <w:proofErr w:type="spellStart"/>
      <w:r w:rsidRPr="0039088B">
        <w:t>катены</w:t>
      </w:r>
      <w:proofErr w:type="spellEnd"/>
      <w:r w:rsidRPr="0039088B">
        <w:t>.</w:t>
      </w:r>
    </w:p>
    <w:p w:rsidR="00B007E4" w:rsidRDefault="00B007E4" w:rsidP="00B007E4">
      <w:pPr>
        <w:spacing w:before="0"/>
        <w:ind w:firstLine="284"/>
        <w:jc w:val="both"/>
      </w:pPr>
      <w:r w:rsidRPr="008E5E08">
        <w:rPr>
          <w:b/>
        </w:rPr>
        <w:t>Результаты и их обсуждение.</w:t>
      </w:r>
      <w:r w:rsidRPr="008E5E08">
        <w:t xml:space="preserve"> </w:t>
      </w:r>
      <w:r>
        <w:t>Максимальный</w:t>
      </w:r>
      <w:r w:rsidRPr="008E5E08">
        <w:t xml:space="preserve"> уровень </w:t>
      </w:r>
      <w:proofErr w:type="spellStart"/>
      <w:r w:rsidRPr="008E5E08">
        <w:t>биогеогеохимической</w:t>
      </w:r>
      <w:proofErr w:type="spellEnd"/>
      <w:r w:rsidRPr="008E5E08">
        <w:t xml:space="preserve"> дифференциации растений по видовому признаку </w:t>
      </w:r>
      <w:r w:rsidRPr="00C07BA9">
        <w:t>не выходит за пределы умеренного концентрирования</w:t>
      </w:r>
      <w:r>
        <w:t xml:space="preserve"> </w:t>
      </w:r>
      <w:r w:rsidRPr="00C07BA9">
        <w:t xml:space="preserve">или умеренного </w:t>
      </w:r>
      <w:proofErr w:type="spellStart"/>
      <w:r w:rsidRPr="00C07BA9">
        <w:t>деконцентрирования</w:t>
      </w:r>
      <w:proofErr w:type="spellEnd"/>
      <w:r w:rsidRPr="00C07BA9">
        <w:t xml:space="preserve"> </w:t>
      </w:r>
      <w:r>
        <w:t>[4</w:t>
      </w:r>
      <w:r w:rsidRPr="00C07BA9">
        <w:t>]</w:t>
      </w:r>
      <w:r>
        <w:t>:</w:t>
      </w:r>
      <w:r w:rsidRPr="00C07BA9">
        <w:t xml:space="preserve"> 4≤</w:t>
      </w:r>
      <w:r w:rsidRPr="00C07BA9">
        <w:rPr>
          <w:lang w:val="en-US"/>
        </w:rPr>
        <w:t>O</w:t>
      </w:r>
      <w:r w:rsidRPr="00C07BA9">
        <w:t>СВР≤ 25</w:t>
      </w:r>
      <w:r>
        <w:t xml:space="preserve"> и</w:t>
      </w:r>
      <w:r w:rsidRPr="00C07BA9">
        <w:t xml:space="preserve"> 0,04≤</w:t>
      </w:r>
      <w:r w:rsidRPr="00C07BA9">
        <w:rPr>
          <w:lang w:val="en-US"/>
        </w:rPr>
        <w:t>O</w:t>
      </w:r>
      <w:r w:rsidRPr="00C07BA9">
        <w:t>СВР≤ 0,2</w:t>
      </w:r>
      <w:r>
        <w:t>5</w:t>
      </w:r>
      <w:r w:rsidRPr="00C07BA9">
        <w:t xml:space="preserve"> </w:t>
      </w:r>
      <w:r>
        <w:lastRenderedPageBreak/>
        <w:t xml:space="preserve">(Таблица 1) </w:t>
      </w:r>
      <w:r w:rsidRPr="00C07BA9">
        <w:t xml:space="preserve">за исключением сфагнума, который является сильным концентратором </w:t>
      </w:r>
      <w:r w:rsidRPr="00C07BA9">
        <w:rPr>
          <w:color w:val="000000"/>
        </w:rPr>
        <w:t>Pb</w:t>
      </w:r>
      <w:r w:rsidRPr="00C07BA9">
        <w:rPr>
          <w:color w:val="000000"/>
          <w:vertAlign w:val="subscript"/>
        </w:rPr>
        <w:t>5</w:t>
      </w:r>
      <w:r>
        <w:rPr>
          <w:color w:val="000000"/>
          <w:vertAlign w:val="subscript"/>
        </w:rPr>
        <w:t>5</w:t>
      </w:r>
      <w:r w:rsidRPr="00C07BA9">
        <w:t>,</w:t>
      </w:r>
      <w:r>
        <w:rPr>
          <w:color w:val="000000"/>
          <w:vertAlign w:val="subscript"/>
        </w:rPr>
        <w:t xml:space="preserve"> </w:t>
      </w:r>
      <w:r w:rsidRPr="00C07BA9">
        <w:t>Ti</w:t>
      </w:r>
      <w:r w:rsidRPr="00C07BA9">
        <w:rPr>
          <w:color w:val="000000"/>
          <w:vertAlign w:val="subscript"/>
        </w:rPr>
        <w:t>38</w:t>
      </w:r>
      <w:r w:rsidRPr="00C07BA9">
        <w:t>,</w:t>
      </w:r>
      <w:r w:rsidRPr="00C07BA9">
        <w:rPr>
          <w:color w:val="000000"/>
        </w:rPr>
        <w:t xml:space="preserve"> Zr</w:t>
      </w:r>
      <w:r w:rsidRPr="00C07BA9">
        <w:rPr>
          <w:color w:val="000000"/>
          <w:vertAlign w:val="subscript"/>
        </w:rPr>
        <w:t>26</w:t>
      </w:r>
      <w:r>
        <w:rPr>
          <w:color w:val="000000"/>
        </w:rPr>
        <w:t xml:space="preserve"> </w:t>
      </w:r>
      <w:r w:rsidRPr="00C07BA9">
        <w:rPr>
          <w:color w:val="000000"/>
        </w:rPr>
        <w:t>(цифры рядом с элементом – значения коэффициента ОСВР</w:t>
      </w:r>
      <w:r w:rsidRPr="00C07BA9">
        <w:t xml:space="preserve">). В древесном ярусе наибольшее число элементов концентрируется в хвое ели обыкновенной и листьях клена остролистного, при этом, в автономном и </w:t>
      </w:r>
      <w:proofErr w:type="spellStart"/>
      <w:r w:rsidRPr="00C07BA9">
        <w:t>трансэлювиальном</w:t>
      </w:r>
      <w:proofErr w:type="spellEnd"/>
      <w:r w:rsidRPr="00C07BA9">
        <w:t xml:space="preserve"> ландшафтах</w:t>
      </w:r>
      <w:r w:rsidRPr="008E5E08">
        <w:t xml:space="preserve"> хвоя ели </w:t>
      </w:r>
      <w:r>
        <w:t>относительно эталона</w:t>
      </w:r>
      <w:r w:rsidRPr="006B1087">
        <w:t xml:space="preserve"> </w:t>
      </w:r>
      <w:r>
        <w:t xml:space="preserve">сравнения </w:t>
      </w:r>
      <w:r w:rsidRPr="008E5E08">
        <w:t>обогащена Pb</w:t>
      </w:r>
      <w:r w:rsidRPr="008E5E08">
        <w:rPr>
          <w:vertAlign w:val="subscript"/>
        </w:rPr>
        <w:t>3</w:t>
      </w:r>
      <w:r>
        <w:rPr>
          <w:vertAlign w:val="subscript"/>
        </w:rPr>
        <w:t>-</w:t>
      </w:r>
      <w:r w:rsidRPr="008E5E08">
        <w:rPr>
          <w:vertAlign w:val="subscript"/>
        </w:rPr>
        <w:t>8</w:t>
      </w:r>
      <w:r>
        <w:t>,</w:t>
      </w:r>
      <w:r w:rsidRPr="008E5E08">
        <w:t xml:space="preserve"> Сo</w:t>
      </w:r>
      <w:r>
        <w:rPr>
          <w:vertAlign w:val="subscript"/>
        </w:rPr>
        <w:t>5-6</w:t>
      </w:r>
      <w:r>
        <w:t xml:space="preserve"> и</w:t>
      </w:r>
      <w:r w:rsidRPr="008E5E08">
        <w:t xml:space="preserve"> Mn</w:t>
      </w:r>
      <w:r w:rsidRPr="008E5E08">
        <w:rPr>
          <w:vertAlign w:val="subscript"/>
        </w:rPr>
        <w:t>4</w:t>
      </w:r>
      <w:r>
        <w:rPr>
          <w:vertAlign w:val="subscript"/>
        </w:rPr>
        <w:t>-5</w:t>
      </w:r>
      <w:r w:rsidRPr="008E5E08">
        <w:t xml:space="preserve">, а листья клена остролистного </w:t>
      </w:r>
      <w:r w:rsidRPr="00197BED">
        <w:rPr>
          <w:i/>
        </w:rPr>
        <w:t>–</w:t>
      </w:r>
      <w:r w:rsidRPr="008E5E08">
        <w:t xml:space="preserve"> Cd</w:t>
      </w:r>
      <w:r>
        <w:rPr>
          <w:vertAlign w:val="subscript"/>
        </w:rPr>
        <w:t>5</w:t>
      </w:r>
      <w:r w:rsidRPr="008E5E08">
        <w:rPr>
          <w:vertAlign w:val="subscript"/>
        </w:rPr>
        <w:t>-</w:t>
      </w:r>
      <w:r>
        <w:rPr>
          <w:vertAlign w:val="subscript"/>
        </w:rPr>
        <w:t>7</w:t>
      </w:r>
      <w:r>
        <w:t xml:space="preserve"> и</w:t>
      </w:r>
      <w:r w:rsidRPr="008E5E08">
        <w:t xml:space="preserve"> Pb</w:t>
      </w:r>
      <w:r w:rsidRPr="008E5E08">
        <w:rPr>
          <w:vertAlign w:val="subscript"/>
        </w:rPr>
        <w:t>5</w:t>
      </w:r>
      <w:r w:rsidRPr="008E5E08">
        <w:t xml:space="preserve">. С увеличением </w:t>
      </w:r>
      <w:proofErr w:type="spellStart"/>
      <w:r w:rsidRPr="008E5E08">
        <w:t>гидроморфизма</w:t>
      </w:r>
      <w:proofErr w:type="spellEnd"/>
      <w:r w:rsidRPr="008E5E08">
        <w:t xml:space="preserve"> ландшафтов </w:t>
      </w:r>
      <w:r>
        <w:t xml:space="preserve">на фоне сохранения основных черт биогеохимической специализации </w:t>
      </w:r>
      <w:r w:rsidRPr="0031398F">
        <w:t xml:space="preserve">у обоих видов </w:t>
      </w:r>
      <w:r w:rsidRPr="008E5E08">
        <w:t xml:space="preserve">отмечается </w:t>
      </w:r>
      <w:r>
        <w:t xml:space="preserve">относительное повышение содержания </w:t>
      </w:r>
      <w:r w:rsidRPr="00285B3A">
        <w:rPr>
          <w:lang w:val="en-US"/>
        </w:rPr>
        <w:t>Zn</w:t>
      </w:r>
      <w:r>
        <w:rPr>
          <w:vertAlign w:val="subscript"/>
        </w:rPr>
        <w:t>3</w:t>
      </w:r>
      <w:r w:rsidRPr="00F85CCA">
        <w:rPr>
          <w:vertAlign w:val="subscript"/>
        </w:rPr>
        <w:t>-</w:t>
      </w:r>
      <w:r>
        <w:rPr>
          <w:vertAlign w:val="subscript"/>
        </w:rPr>
        <w:t>5</w:t>
      </w:r>
      <w:r w:rsidRPr="00BC502A">
        <w:t xml:space="preserve"> </w:t>
      </w:r>
      <w:r>
        <w:t>(ЦЛЗ 3</w:t>
      </w:r>
      <w:r w:rsidRPr="00BC502A">
        <w:t>/1</w:t>
      </w:r>
      <w:r>
        <w:t xml:space="preserve">), а также </w:t>
      </w:r>
      <w:r w:rsidRPr="00197BED">
        <w:rPr>
          <w:i/>
        </w:rPr>
        <w:t xml:space="preserve">– </w:t>
      </w:r>
      <w:r>
        <w:t>С</w:t>
      </w:r>
      <w:r>
        <w:rPr>
          <w:lang w:val="en-US"/>
        </w:rPr>
        <w:t>d</w:t>
      </w:r>
      <w:r w:rsidRPr="00B007E4">
        <w:rPr>
          <w:vertAlign w:val="subscript"/>
        </w:rPr>
        <w:t xml:space="preserve">3,41 </w:t>
      </w:r>
      <w:r>
        <w:t xml:space="preserve">(у </w:t>
      </w:r>
      <w:r w:rsidRPr="008E5E08">
        <w:t>ели обыкновенной</w:t>
      </w:r>
      <w:r>
        <w:t xml:space="preserve">) и </w:t>
      </w:r>
      <w:r>
        <w:rPr>
          <w:lang w:val="en-US"/>
        </w:rPr>
        <w:t>Mn</w:t>
      </w:r>
      <w:r w:rsidRPr="00B007E4">
        <w:rPr>
          <w:vertAlign w:val="subscript"/>
        </w:rPr>
        <w:t xml:space="preserve">4,52 </w:t>
      </w:r>
      <w:r>
        <w:t xml:space="preserve">(у клена остролистного). </w:t>
      </w:r>
      <w:r w:rsidRPr="0031398F">
        <w:t xml:space="preserve">По сравнению с липой сердцевидной и кленом остролистным, </w:t>
      </w:r>
      <w:r>
        <w:t xml:space="preserve">фотосинтезирующие органы </w:t>
      </w:r>
      <w:r w:rsidRPr="0031398F">
        <w:t>ел</w:t>
      </w:r>
      <w:r>
        <w:t>и</w:t>
      </w:r>
      <w:r w:rsidRPr="0031398F">
        <w:t xml:space="preserve"> обыкновенн</w:t>
      </w:r>
      <w:r>
        <w:t>ой</w:t>
      </w:r>
      <w:r w:rsidRPr="0031398F">
        <w:t xml:space="preserve"> слабее накаплива</w:t>
      </w:r>
      <w:r>
        <w:t>ю</w:t>
      </w:r>
      <w:r w:rsidRPr="0031398F">
        <w:t xml:space="preserve">т </w:t>
      </w:r>
      <w:proofErr w:type="spellStart"/>
      <w:r w:rsidRPr="0031398F">
        <w:t>Сu</w:t>
      </w:r>
      <w:proofErr w:type="spellEnd"/>
      <w:r w:rsidRPr="0031398F">
        <w:t xml:space="preserve"> и </w:t>
      </w:r>
      <w:proofErr w:type="spellStart"/>
      <w:r w:rsidRPr="0031398F">
        <w:t>Zr</w:t>
      </w:r>
      <w:proofErr w:type="spellEnd"/>
      <w:r w:rsidRPr="0031398F">
        <w:t xml:space="preserve">, причем </w:t>
      </w:r>
      <w:r>
        <w:t>отличия в их содержании</w:t>
      </w:r>
      <w:r w:rsidRPr="0031398F">
        <w:t xml:space="preserve"> </w:t>
      </w:r>
      <w:r>
        <w:t>не превышают 2 раз. С</w:t>
      </w:r>
      <w:r w:rsidRPr="008E5E08">
        <w:t xml:space="preserve"> увеличением увлажненности почв хвоя ели обыкновенной </w:t>
      </w:r>
      <w:proofErr w:type="spellStart"/>
      <w:r w:rsidRPr="008E5E08">
        <w:t>деконцентрирует</w:t>
      </w:r>
      <w:proofErr w:type="spellEnd"/>
      <w:r w:rsidRPr="008E5E08">
        <w:t xml:space="preserve"> С</w:t>
      </w:r>
      <w:r w:rsidRPr="008E5E08">
        <w:rPr>
          <w:lang w:val="en-US"/>
        </w:rPr>
        <w:t>u</w:t>
      </w:r>
      <w:r w:rsidRPr="008E5E08">
        <w:rPr>
          <w:vertAlign w:val="subscript"/>
        </w:rPr>
        <w:t>0,4.</w:t>
      </w:r>
      <w:r w:rsidRPr="008E5E08">
        <w:t xml:space="preserve"> </w:t>
      </w:r>
    </w:p>
    <w:p w:rsidR="00B007E4" w:rsidRDefault="00B007E4" w:rsidP="00B007E4">
      <w:pPr>
        <w:spacing w:before="0"/>
        <w:ind w:firstLine="284"/>
        <w:jc w:val="both"/>
      </w:pPr>
      <w:r w:rsidRPr="008E5E08">
        <w:t xml:space="preserve">Травянистый ярус в ландшафтах </w:t>
      </w:r>
      <w:proofErr w:type="spellStart"/>
      <w:r w:rsidRPr="008E5E08">
        <w:t>катены</w:t>
      </w:r>
      <w:proofErr w:type="spellEnd"/>
      <w:r w:rsidRPr="008E5E08">
        <w:t xml:space="preserve"> представлен как неморальными, так и бореальными видами. Большинство растений </w:t>
      </w:r>
      <w:r>
        <w:t>нижних</w:t>
      </w:r>
      <w:r w:rsidRPr="008E5E08">
        <w:t xml:space="preserve"> ярус</w:t>
      </w:r>
      <w:r>
        <w:t xml:space="preserve">ов растительных сообществ, за исключением сфагнума, в соответствии со значениями коэффициента ОСВР </w:t>
      </w:r>
      <w:r w:rsidRPr="008E5E08">
        <w:t xml:space="preserve">являются </w:t>
      </w:r>
      <w:proofErr w:type="spellStart"/>
      <w:r w:rsidRPr="008E5E08">
        <w:t>деконцентраторами</w:t>
      </w:r>
      <w:proofErr w:type="spellEnd"/>
      <w:r w:rsidRPr="008E5E08">
        <w:t xml:space="preserve"> </w:t>
      </w:r>
      <w:proofErr w:type="spellStart"/>
      <w:r w:rsidRPr="004E64BD">
        <w:t>Cr</w:t>
      </w:r>
      <w:proofErr w:type="spellEnd"/>
      <w:r w:rsidRPr="004E64BD">
        <w:t xml:space="preserve">, </w:t>
      </w:r>
      <w:proofErr w:type="spellStart"/>
      <w:r w:rsidRPr="004E64BD">
        <w:t>Ni</w:t>
      </w:r>
      <w:proofErr w:type="spellEnd"/>
      <w:r w:rsidRPr="004E64BD">
        <w:t xml:space="preserve">, </w:t>
      </w:r>
      <w:proofErr w:type="spellStart"/>
      <w:r w:rsidRPr="004E64BD">
        <w:t>Cu</w:t>
      </w:r>
      <w:proofErr w:type="spellEnd"/>
      <w:r w:rsidRPr="004E64BD">
        <w:t xml:space="preserve">, </w:t>
      </w:r>
      <w:proofErr w:type="spellStart"/>
      <w:r w:rsidRPr="004E64BD">
        <w:t>Sr</w:t>
      </w:r>
      <w:proofErr w:type="spellEnd"/>
      <w:r w:rsidRPr="004E64BD">
        <w:t xml:space="preserve">. Однако травянистые растения концентрируют малоподвижные </w:t>
      </w:r>
      <w:proofErr w:type="spellStart"/>
      <w:r w:rsidRPr="004E64BD">
        <w:t>Ti</w:t>
      </w:r>
      <w:proofErr w:type="spellEnd"/>
      <w:r w:rsidRPr="004E64BD">
        <w:t xml:space="preserve">, </w:t>
      </w:r>
      <w:proofErr w:type="spellStart"/>
      <w:r w:rsidRPr="004E64BD">
        <w:t>Zr</w:t>
      </w:r>
      <w:proofErr w:type="spellEnd"/>
      <w:r w:rsidRPr="004E64BD">
        <w:t xml:space="preserve">, а также </w:t>
      </w:r>
      <w:proofErr w:type="spellStart"/>
      <w:r w:rsidRPr="004E64BD">
        <w:t>Fe</w:t>
      </w:r>
      <w:proofErr w:type="spellEnd"/>
      <w:r w:rsidRPr="004E64BD">
        <w:t xml:space="preserve">, </w:t>
      </w:r>
      <w:proofErr w:type="spellStart"/>
      <w:r w:rsidRPr="004E64BD">
        <w:t>Cd</w:t>
      </w:r>
      <w:proofErr w:type="spellEnd"/>
      <w:r w:rsidRPr="004E64BD">
        <w:t xml:space="preserve">, </w:t>
      </w:r>
      <w:proofErr w:type="spellStart"/>
      <w:r w:rsidRPr="004E64BD">
        <w:t>Cr</w:t>
      </w:r>
      <w:proofErr w:type="spellEnd"/>
      <w:r w:rsidRPr="004E64BD">
        <w:t xml:space="preserve">. Среди </w:t>
      </w:r>
      <w:r>
        <w:t>растений</w:t>
      </w:r>
      <w:r w:rsidRPr="004E64BD">
        <w:t xml:space="preserve"> травянистого яруса кислица обыкновенная характеризуется наиболее</w:t>
      </w:r>
      <w:r w:rsidRPr="008E5E08">
        <w:t xml:space="preserve"> </w:t>
      </w:r>
      <w:r>
        <w:t>низкими</w:t>
      </w:r>
      <w:r w:rsidRPr="008E5E08">
        <w:t xml:space="preserve"> концентрациями элементов</w:t>
      </w:r>
      <w:r>
        <w:t>, а к</w:t>
      </w:r>
      <w:r w:rsidRPr="008E5E08">
        <w:t xml:space="preserve">онцентратором наибольшего числа элементов является </w:t>
      </w:r>
      <w:proofErr w:type="spellStart"/>
      <w:r w:rsidRPr="008E5E08">
        <w:t>плюризональный</w:t>
      </w:r>
      <w:proofErr w:type="spellEnd"/>
      <w:r w:rsidRPr="008E5E08">
        <w:t xml:space="preserve"> вид</w:t>
      </w:r>
      <w:r w:rsidRPr="00197BED">
        <w:rPr>
          <w:i/>
        </w:rPr>
        <w:t xml:space="preserve"> – </w:t>
      </w:r>
      <w:r w:rsidRPr="008E5E08">
        <w:t>орляк обыкновенный</w:t>
      </w:r>
      <w:r>
        <w:t xml:space="preserve"> </w:t>
      </w:r>
      <w:r w:rsidRPr="004E64BD">
        <w:t>(</w:t>
      </w:r>
      <w:r w:rsidRPr="004E64BD">
        <w:rPr>
          <w:lang w:eastAsia="ru-RU"/>
        </w:rPr>
        <w:t>Ti</w:t>
      </w:r>
      <w:r w:rsidRPr="004E64BD">
        <w:rPr>
          <w:vertAlign w:val="subscript"/>
          <w:lang w:eastAsia="ru-RU"/>
        </w:rPr>
        <w:t>4,3-11,6</w:t>
      </w:r>
      <w:r w:rsidRPr="004E64BD">
        <w:rPr>
          <w:lang w:eastAsia="ru-RU"/>
        </w:rPr>
        <w:t>; Fe</w:t>
      </w:r>
      <w:r w:rsidRPr="004E64BD">
        <w:rPr>
          <w:vertAlign w:val="subscript"/>
          <w:lang w:eastAsia="ru-RU"/>
        </w:rPr>
        <w:t>1,2-4,7</w:t>
      </w:r>
      <w:r w:rsidRPr="004E64BD">
        <w:rPr>
          <w:lang w:eastAsia="ru-RU"/>
        </w:rPr>
        <w:t>; Cr</w:t>
      </w:r>
      <w:r w:rsidRPr="004E64BD">
        <w:rPr>
          <w:vertAlign w:val="subscript"/>
          <w:lang w:eastAsia="ru-RU"/>
        </w:rPr>
        <w:t>3,5-4,3</w:t>
      </w:r>
      <w:r>
        <w:rPr>
          <w:lang w:eastAsia="ru-RU"/>
        </w:rPr>
        <w:t>;</w:t>
      </w:r>
      <w:r w:rsidRPr="004E64BD">
        <w:rPr>
          <w:lang w:eastAsia="ru-RU"/>
        </w:rPr>
        <w:t xml:space="preserve"> Zr</w:t>
      </w:r>
      <w:r w:rsidRPr="004E64BD">
        <w:rPr>
          <w:vertAlign w:val="subscript"/>
          <w:lang w:eastAsia="ru-RU"/>
        </w:rPr>
        <w:t>3,8-8,9</w:t>
      </w:r>
      <w:r w:rsidRPr="004E64BD">
        <w:rPr>
          <w:lang w:eastAsia="ru-RU"/>
        </w:rPr>
        <w:t>)</w:t>
      </w:r>
      <w:r w:rsidRPr="008E5E08">
        <w:t xml:space="preserve">. </w:t>
      </w:r>
    </w:p>
    <w:p w:rsidR="00B007E4" w:rsidRPr="00EC78CB" w:rsidRDefault="00B007E4" w:rsidP="00B007E4">
      <w:pPr>
        <w:spacing w:before="0"/>
        <w:ind w:firstLine="284"/>
        <w:jc w:val="right"/>
      </w:pPr>
      <w:r w:rsidRPr="00EC78CB">
        <w:t>Таблица 1</w:t>
      </w:r>
    </w:p>
    <w:p w:rsidR="00B007E4" w:rsidRPr="00EA4736" w:rsidRDefault="00B007E4" w:rsidP="00B007E4">
      <w:pPr>
        <w:spacing w:before="0"/>
        <w:ind w:firstLine="284"/>
        <w:jc w:val="center"/>
        <w:rPr>
          <w:b/>
        </w:rPr>
      </w:pPr>
      <w:r w:rsidRPr="00EA4736">
        <w:rPr>
          <w:b/>
        </w:rPr>
        <w:t xml:space="preserve">Зольность и элементный состав листьев липы сердцевидной в ландшафтах </w:t>
      </w:r>
      <w:proofErr w:type="spellStart"/>
      <w:r w:rsidRPr="00EA4736">
        <w:rPr>
          <w:b/>
        </w:rPr>
        <w:t>катены</w:t>
      </w:r>
      <w:proofErr w:type="spellEnd"/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314"/>
        <w:gridCol w:w="562"/>
        <w:gridCol w:w="601"/>
        <w:gridCol w:w="728"/>
        <w:gridCol w:w="612"/>
        <w:gridCol w:w="612"/>
        <w:gridCol w:w="612"/>
        <w:gridCol w:w="501"/>
        <w:gridCol w:w="612"/>
        <w:gridCol w:w="612"/>
        <w:gridCol w:w="468"/>
        <w:gridCol w:w="645"/>
        <w:gridCol w:w="622"/>
      </w:tblGrid>
      <w:tr w:rsidR="00B007E4" w:rsidRPr="00EC78CB" w:rsidTr="00B007E4">
        <w:trPr>
          <w:jc w:val="center"/>
        </w:trPr>
        <w:tc>
          <w:tcPr>
            <w:tcW w:w="585" w:type="pct"/>
            <w:vMerge w:val="restart"/>
            <w:vAlign w:val="center"/>
          </w:tcPr>
          <w:p w:rsidR="00B007E4" w:rsidRPr="00EC78CB" w:rsidRDefault="00B007E4" w:rsidP="00C62C25">
            <w:pPr>
              <w:spacing w:before="0"/>
              <w:jc w:val="center"/>
            </w:pPr>
            <w:r>
              <w:t>Разрез</w:t>
            </w:r>
          </w:p>
        </w:tc>
        <w:tc>
          <w:tcPr>
            <w:tcW w:w="682" w:type="pct"/>
            <w:vMerge w:val="restart"/>
            <w:vAlign w:val="center"/>
          </w:tcPr>
          <w:p w:rsidR="00B007E4" w:rsidRPr="00EC78CB" w:rsidRDefault="00B007E4" w:rsidP="00C62C25">
            <w:pPr>
              <w:spacing w:before="0"/>
              <w:ind w:left="-113" w:right="-113"/>
              <w:jc w:val="center"/>
            </w:pPr>
            <w:r>
              <w:t>Зольность, %</w:t>
            </w:r>
          </w:p>
        </w:tc>
        <w:tc>
          <w:tcPr>
            <w:tcW w:w="3733" w:type="pct"/>
            <w:gridSpan w:val="12"/>
            <w:vAlign w:val="center"/>
          </w:tcPr>
          <w:p w:rsidR="00B007E4" w:rsidRPr="00EC78CB" w:rsidRDefault="00B007E4" w:rsidP="00C62C25">
            <w:pPr>
              <w:spacing w:before="0"/>
              <w:jc w:val="center"/>
            </w:pPr>
            <w:r w:rsidRPr="00EC78CB">
              <w:t>Микроэлементы</w:t>
            </w:r>
            <w:r>
              <w:t>,</w:t>
            </w:r>
            <w:r w:rsidRPr="00EC78CB">
              <w:t xml:space="preserve"> мг/кг сухого вещества</w:t>
            </w:r>
          </w:p>
        </w:tc>
      </w:tr>
      <w:tr w:rsidR="00B007E4" w:rsidRPr="00EC78CB" w:rsidTr="00B007E4">
        <w:trPr>
          <w:jc w:val="center"/>
        </w:trPr>
        <w:tc>
          <w:tcPr>
            <w:tcW w:w="585" w:type="pct"/>
            <w:vMerge/>
            <w:vAlign w:val="center"/>
          </w:tcPr>
          <w:p w:rsidR="00B007E4" w:rsidRPr="00EC78CB" w:rsidRDefault="00B007E4" w:rsidP="00C62C25">
            <w:pPr>
              <w:spacing w:before="0"/>
              <w:jc w:val="center"/>
            </w:pPr>
          </w:p>
        </w:tc>
        <w:tc>
          <w:tcPr>
            <w:tcW w:w="682" w:type="pct"/>
            <w:vMerge/>
            <w:vAlign w:val="center"/>
          </w:tcPr>
          <w:p w:rsidR="00B007E4" w:rsidRPr="00EC78CB" w:rsidRDefault="00B007E4" w:rsidP="00C62C25">
            <w:pPr>
              <w:spacing w:before="0"/>
              <w:ind w:left="-1"/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Ti</w:t>
            </w:r>
            <w:proofErr w:type="spellEnd"/>
          </w:p>
        </w:tc>
        <w:tc>
          <w:tcPr>
            <w:tcW w:w="312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Fe</w:t>
            </w:r>
            <w:proofErr w:type="spellEnd"/>
          </w:p>
        </w:tc>
        <w:tc>
          <w:tcPr>
            <w:tcW w:w="37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Mn</w:t>
            </w:r>
            <w:proofErr w:type="spellEnd"/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Cr</w:t>
            </w:r>
            <w:proofErr w:type="spellEnd"/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Co</w:t>
            </w:r>
            <w:proofErr w:type="spellEnd"/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Ni</w:t>
            </w:r>
            <w:proofErr w:type="spellEnd"/>
          </w:p>
        </w:tc>
        <w:tc>
          <w:tcPr>
            <w:tcW w:w="260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Cu</w:t>
            </w:r>
            <w:proofErr w:type="spellEnd"/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Zn</w:t>
            </w:r>
            <w:proofErr w:type="spellEnd"/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Zr</w:t>
            </w:r>
            <w:proofErr w:type="spellEnd"/>
          </w:p>
        </w:tc>
        <w:tc>
          <w:tcPr>
            <w:tcW w:w="243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Sr</w:t>
            </w:r>
            <w:proofErr w:type="spellEnd"/>
          </w:p>
        </w:tc>
        <w:tc>
          <w:tcPr>
            <w:tcW w:w="335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Pb</w:t>
            </w:r>
            <w:proofErr w:type="spellEnd"/>
          </w:p>
        </w:tc>
        <w:tc>
          <w:tcPr>
            <w:tcW w:w="324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EC78CB">
              <w:rPr>
                <w:color w:val="000000"/>
              </w:rPr>
              <w:t>Cd</w:t>
            </w:r>
            <w:proofErr w:type="spellEnd"/>
          </w:p>
        </w:tc>
      </w:tr>
      <w:tr w:rsidR="00B007E4" w:rsidRPr="00EC78CB" w:rsidTr="00C62C25">
        <w:trPr>
          <w:jc w:val="center"/>
        </w:trPr>
        <w:tc>
          <w:tcPr>
            <w:tcW w:w="5000" w:type="pct"/>
            <w:gridSpan w:val="14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Автономный ландшафт</w:t>
            </w:r>
          </w:p>
        </w:tc>
      </w:tr>
      <w:tr w:rsidR="00B007E4" w:rsidRPr="00EC78CB" w:rsidTr="00B007E4">
        <w:trPr>
          <w:jc w:val="center"/>
        </w:trPr>
        <w:tc>
          <w:tcPr>
            <w:tcW w:w="585" w:type="pct"/>
            <w:vAlign w:val="center"/>
          </w:tcPr>
          <w:p w:rsidR="00B007E4" w:rsidRPr="006B1087" w:rsidRDefault="00B007E4" w:rsidP="00C62C25">
            <w:pPr>
              <w:spacing w:before="0"/>
              <w:jc w:val="center"/>
              <w:rPr>
                <w:lang w:val="en-US"/>
              </w:rPr>
            </w:pPr>
            <w:r w:rsidRPr="00EC78CB">
              <w:t>ЦЛЗ-0</w:t>
            </w:r>
          </w:p>
        </w:tc>
        <w:tc>
          <w:tcPr>
            <w:tcW w:w="682" w:type="pct"/>
            <w:vAlign w:val="center"/>
          </w:tcPr>
          <w:p w:rsidR="00B007E4" w:rsidRPr="00EC78CB" w:rsidRDefault="00B007E4" w:rsidP="00C62C25">
            <w:pPr>
              <w:spacing w:before="0"/>
              <w:ind w:lef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292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312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7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1,14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243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35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4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B007E4" w:rsidRPr="00EC78CB" w:rsidTr="00C62C25">
        <w:trPr>
          <w:jc w:val="center"/>
        </w:trPr>
        <w:tc>
          <w:tcPr>
            <w:tcW w:w="5000" w:type="pct"/>
            <w:gridSpan w:val="14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Трансэлювиальный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ландшафт склона</w:t>
            </w:r>
          </w:p>
        </w:tc>
      </w:tr>
      <w:tr w:rsidR="00B007E4" w:rsidRPr="00EC78CB" w:rsidTr="00B007E4">
        <w:trPr>
          <w:jc w:val="center"/>
        </w:trPr>
        <w:tc>
          <w:tcPr>
            <w:tcW w:w="585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</w:pPr>
            <w:r w:rsidRPr="00EC78CB">
              <w:t>ЦЛЗ-1</w:t>
            </w:r>
          </w:p>
        </w:tc>
        <w:tc>
          <w:tcPr>
            <w:tcW w:w="682" w:type="pct"/>
            <w:vAlign w:val="center"/>
          </w:tcPr>
          <w:p w:rsidR="00B007E4" w:rsidRPr="00EC78CB" w:rsidRDefault="00B007E4" w:rsidP="00C62C25">
            <w:pPr>
              <w:spacing w:before="0"/>
              <w:ind w:left="-1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292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312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0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8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43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4" w:type="pct"/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B007E4" w:rsidRPr="00EC78CB" w:rsidTr="00C62C25">
        <w:trPr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Трансэлювиально-супераквальный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ландшафт</w:t>
            </w:r>
          </w:p>
        </w:tc>
      </w:tr>
      <w:tr w:rsidR="00B007E4" w:rsidRPr="00EC78CB" w:rsidTr="00B007E4">
        <w:trPr>
          <w:jc w:val="center"/>
        </w:trPr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:rsidR="00B007E4" w:rsidRPr="006B108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6B1087">
              <w:rPr>
                <w:color w:val="000000"/>
                <w:sz w:val="22"/>
                <w:szCs w:val="22"/>
              </w:rPr>
              <w:t>ЦЛЗ-3/1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ind w:left="-1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bottom w:val="single" w:sz="2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B007E4" w:rsidRPr="00EC78CB" w:rsidTr="00B007E4">
        <w:trPr>
          <w:jc w:val="center"/>
        </w:trPr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</w:pPr>
            <w:r w:rsidRPr="00EC78CB">
              <w:t>ЦЛЗ-3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ind w:left="-1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B007E4" w:rsidRPr="00EC78CB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EC78CB">
              <w:rPr>
                <w:color w:val="000000"/>
                <w:sz w:val="22"/>
                <w:szCs w:val="22"/>
              </w:rPr>
              <w:t>0,09</w:t>
            </w:r>
          </w:p>
        </w:tc>
      </w:tr>
    </w:tbl>
    <w:p w:rsidR="00B007E4" w:rsidRPr="002025FE" w:rsidRDefault="00B007E4" w:rsidP="00B007E4">
      <w:pPr>
        <w:spacing w:before="0"/>
        <w:ind w:firstLine="284"/>
        <w:jc w:val="both"/>
      </w:pPr>
      <w:r>
        <w:t>В</w:t>
      </w:r>
      <w:r w:rsidRPr="00680168">
        <w:rPr>
          <w:color w:val="000000"/>
          <w:shd w:val="clear" w:color="auto" w:fill="FFFFFF"/>
        </w:rPr>
        <w:t xml:space="preserve"> старых и малоактивных органах растений (крупные ветки, кора) накапливаются щелочноземельны</w:t>
      </w:r>
      <w:r>
        <w:rPr>
          <w:color w:val="000000"/>
          <w:shd w:val="clear" w:color="auto" w:fill="FFFFFF"/>
        </w:rPr>
        <w:t>е</w:t>
      </w:r>
      <w:r w:rsidRPr="00680168">
        <w:rPr>
          <w:color w:val="000000"/>
          <w:shd w:val="clear" w:color="auto" w:fill="FFFFFF"/>
        </w:rPr>
        <w:t xml:space="preserve"> элемент</w:t>
      </w:r>
      <w:r>
        <w:rPr>
          <w:color w:val="000000"/>
          <w:shd w:val="clear" w:color="auto" w:fill="FFFFFF"/>
        </w:rPr>
        <w:t>ы</w:t>
      </w:r>
      <w:r w:rsidRPr="00680168">
        <w:rPr>
          <w:color w:val="000000"/>
          <w:shd w:val="clear" w:color="auto" w:fill="FFFFFF"/>
        </w:rPr>
        <w:t xml:space="preserve"> (особенно </w:t>
      </w:r>
      <w:r w:rsidRPr="00680168">
        <w:rPr>
          <w:color w:val="000000"/>
          <w:shd w:val="clear" w:color="auto" w:fill="FFFFFF"/>
          <w:lang w:val="en-US"/>
        </w:rPr>
        <w:t>Ca</w:t>
      </w:r>
      <w:r w:rsidRPr="00680168">
        <w:rPr>
          <w:color w:val="000000"/>
          <w:shd w:val="clear" w:color="auto" w:fill="FFFFFF"/>
        </w:rPr>
        <w:t>, для которого ОСОР в коре равен 1,2-2,4) и некоторые металлы</w:t>
      </w:r>
      <w:r w:rsidRPr="006B1087">
        <w:rPr>
          <w:color w:val="000000"/>
          <w:shd w:val="clear" w:color="auto" w:fill="FFFFFF"/>
        </w:rPr>
        <w:t>:</w:t>
      </w:r>
      <w:r w:rsidRPr="00680168">
        <w:rPr>
          <w:color w:val="000000"/>
          <w:shd w:val="clear" w:color="auto" w:fill="FFFFFF"/>
        </w:rPr>
        <w:t xml:space="preserve"> Zn</w:t>
      </w:r>
      <w:r w:rsidRPr="00680168">
        <w:rPr>
          <w:color w:val="000000"/>
          <w:shd w:val="clear" w:color="auto" w:fill="FFFFFF"/>
          <w:vertAlign w:val="subscript"/>
        </w:rPr>
        <w:t>0,8-1,22</w:t>
      </w:r>
      <w:r w:rsidRPr="00680168">
        <w:rPr>
          <w:color w:val="000000"/>
          <w:shd w:val="clear" w:color="auto" w:fill="FFFFFF"/>
        </w:rPr>
        <w:t>, Cu</w:t>
      </w:r>
      <w:r w:rsidRPr="00680168">
        <w:rPr>
          <w:color w:val="000000"/>
          <w:shd w:val="clear" w:color="auto" w:fill="FFFFFF"/>
          <w:vertAlign w:val="subscript"/>
        </w:rPr>
        <w:t>1,14-1,5</w:t>
      </w:r>
      <w:r w:rsidRPr="00680168">
        <w:rPr>
          <w:color w:val="000000"/>
          <w:shd w:val="clear" w:color="auto" w:fill="FFFFFF"/>
        </w:rPr>
        <w:t>, Pb</w:t>
      </w:r>
      <w:r w:rsidRPr="00680168">
        <w:rPr>
          <w:color w:val="000000"/>
          <w:shd w:val="clear" w:color="auto" w:fill="FFFFFF"/>
          <w:vertAlign w:val="subscript"/>
        </w:rPr>
        <w:t>0,8</w:t>
      </w:r>
      <w:r w:rsidRPr="006B1087">
        <w:rPr>
          <w:color w:val="000000"/>
          <w:shd w:val="clear" w:color="auto" w:fill="FFFFFF"/>
          <w:vertAlign w:val="subscript"/>
        </w:rPr>
        <w:t xml:space="preserve"> </w:t>
      </w:r>
      <w:r w:rsidRPr="006B1087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цифра рядом с элементом – значение коэффициента ОСОР</w:t>
      </w:r>
      <w:r w:rsidRPr="009B320D">
        <w:rPr>
          <w:color w:val="000000"/>
          <w:shd w:val="clear" w:color="auto" w:fill="FFFFFF"/>
        </w:rPr>
        <w:t>)</w:t>
      </w:r>
      <w:r w:rsidRPr="00680168">
        <w:rPr>
          <w:color w:val="000000"/>
          <w:shd w:val="clear" w:color="auto" w:fill="FFFFFF"/>
        </w:rPr>
        <w:t xml:space="preserve">. Кальций выполняет скелетные функции, участвует в различных обменных процессах, активизации ферментов, развитии </w:t>
      </w:r>
      <w:r w:rsidRPr="006F61F3">
        <w:rPr>
          <w:color w:val="000000"/>
          <w:shd w:val="clear" w:color="auto" w:fill="FFFFFF"/>
        </w:rPr>
        <w:t>корневой системы растений. Свинец малоподвижен в растениях, поэтому нак</w:t>
      </w:r>
      <w:r>
        <w:rPr>
          <w:color w:val="000000"/>
          <w:shd w:val="clear" w:color="auto" w:fill="FFFFFF"/>
        </w:rPr>
        <w:t>апливается</w:t>
      </w:r>
      <w:r w:rsidRPr="006F61F3">
        <w:rPr>
          <w:color w:val="000000"/>
          <w:shd w:val="clear" w:color="auto" w:fill="FFFFFF"/>
        </w:rPr>
        <w:t xml:space="preserve"> в древесине. Наши данные согласуются с результатами, полу</w:t>
      </w:r>
      <w:r>
        <w:rPr>
          <w:color w:val="000000"/>
          <w:shd w:val="clear" w:color="auto" w:fill="FFFFFF"/>
        </w:rPr>
        <w:t>ченными в работе [</w:t>
      </w:r>
      <w:r w:rsidRPr="005B09EA">
        <w:rPr>
          <w:color w:val="000000"/>
          <w:shd w:val="clear" w:color="auto" w:fill="FFFFFF"/>
        </w:rPr>
        <w:t>7</w:t>
      </w:r>
      <w:r w:rsidRPr="006F61F3">
        <w:rPr>
          <w:color w:val="000000"/>
          <w:shd w:val="clear" w:color="auto" w:fill="FFFFFF"/>
        </w:rPr>
        <w:t xml:space="preserve">], свидетельствующими об аккумуляции </w:t>
      </w:r>
      <w:r w:rsidRPr="006F61F3">
        <w:rPr>
          <w:color w:val="000000"/>
          <w:shd w:val="clear" w:color="auto" w:fill="FFFFFF"/>
          <w:lang w:val="en-US"/>
        </w:rPr>
        <w:t>Cd</w:t>
      </w:r>
      <w:r w:rsidRPr="006F61F3">
        <w:rPr>
          <w:color w:val="000000"/>
          <w:shd w:val="clear" w:color="auto" w:fill="FFFFFF"/>
        </w:rPr>
        <w:t xml:space="preserve"> и </w:t>
      </w:r>
      <w:r w:rsidRPr="006F61F3">
        <w:rPr>
          <w:color w:val="000000"/>
          <w:shd w:val="clear" w:color="auto" w:fill="FFFFFF"/>
          <w:lang w:val="en-US"/>
        </w:rPr>
        <w:t>Zn</w:t>
      </w:r>
      <w:r w:rsidRPr="006F61F3">
        <w:rPr>
          <w:color w:val="000000"/>
          <w:shd w:val="clear" w:color="auto" w:fill="FFFFFF"/>
        </w:rPr>
        <w:t xml:space="preserve"> в ветвях ели обыкновенной, и повышенной аккумуляции С</w:t>
      </w:r>
      <w:r w:rsidRPr="006F61F3">
        <w:rPr>
          <w:color w:val="000000"/>
          <w:shd w:val="clear" w:color="auto" w:fill="FFFFFF"/>
          <w:lang w:val="en-US"/>
        </w:rPr>
        <w:t>u</w:t>
      </w:r>
      <w:r w:rsidRPr="006F61F3">
        <w:rPr>
          <w:color w:val="000000"/>
          <w:shd w:val="clear" w:color="auto" w:fill="FFFFFF"/>
        </w:rPr>
        <w:t xml:space="preserve"> в древесине, что связанно с важной ролью этого элемента в </w:t>
      </w:r>
      <w:proofErr w:type="spellStart"/>
      <w:r w:rsidRPr="006F61F3">
        <w:rPr>
          <w:color w:val="000000"/>
          <w:shd w:val="clear" w:color="auto" w:fill="FFFFFF"/>
        </w:rPr>
        <w:t>лигнификации</w:t>
      </w:r>
      <w:proofErr w:type="spellEnd"/>
      <w:r w:rsidRPr="008E5E08">
        <w:rPr>
          <w:color w:val="000000"/>
          <w:shd w:val="clear" w:color="auto" w:fill="FFFFFF"/>
        </w:rPr>
        <w:t xml:space="preserve"> </w:t>
      </w:r>
      <w:r w:rsidRPr="00680168">
        <w:rPr>
          <w:color w:val="000000"/>
        </w:rPr>
        <w:t xml:space="preserve">ксилемы и высоким сродством к материалу клеточных стенок. </w:t>
      </w:r>
      <w:r>
        <w:rPr>
          <w:color w:val="000000"/>
        </w:rPr>
        <w:t>Для</w:t>
      </w:r>
      <w:r w:rsidRPr="00680168">
        <w:rPr>
          <w:color w:val="000000"/>
        </w:rPr>
        <w:t xml:space="preserve"> </w:t>
      </w:r>
      <w:r w:rsidRPr="00680168">
        <w:rPr>
          <w:color w:val="000000"/>
          <w:lang w:val="en-US"/>
        </w:rPr>
        <w:t>Cd</w:t>
      </w:r>
      <w:r w:rsidRPr="00680168">
        <w:rPr>
          <w:color w:val="000000"/>
        </w:rPr>
        <w:t xml:space="preserve">, </w:t>
      </w:r>
      <w:r w:rsidRPr="00680168">
        <w:rPr>
          <w:color w:val="000000"/>
          <w:lang w:val="en-US"/>
        </w:rPr>
        <w:t>Zn</w:t>
      </w:r>
      <w:r w:rsidRPr="00680168">
        <w:rPr>
          <w:color w:val="000000"/>
        </w:rPr>
        <w:t xml:space="preserve">, </w:t>
      </w:r>
      <w:r w:rsidRPr="00680168">
        <w:rPr>
          <w:color w:val="000000"/>
          <w:lang w:val="en-US"/>
        </w:rPr>
        <w:t>Pb</w:t>
      </w:r>
      <w:r w:rsidRPr="00680168">
        <w:rPr>
          <w:color w:val="000000"/>
        </w:rPr>
        <w:t xml:space="preserve"> </w:t>
      </w:r>
      <w:r>
        <w:rPr>
          <w:color w:val="000000"/>
        </w:rPr>
        <w:t>установлено</w:t>
      </w:r>
      <w:r w:rsidRPr="008E5E08">
        <w:rPr>
          <w:color w:val="000000"/>
          <w:shd w:val="clear" w:color="auto" w:fill="FFFFFF"/>
        </w:rPr>
        <w:t xml:space="preserve"> накопление в</w:t>
      </w:r>
      <w:r>
        <w:rPr>
          <w:color w:val="000000"/>
          <w:shd w:val="clear" w:color="auto" w:fill="FFFFFF"/>
        </w:rPr>
        <w:t xml:space="preserve"> старых иглах ели обыкновенной, что отмечалось ранее</w:t>
      </w:r>
      <w:r w:rsidRPr="004902D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[</w:t>
      </w:r>
      <w:r w:rsidRPr="005B09EA">
        <w:rPr>
          <w:color w:val="000000"/>
          <w:shd w:val="clear" w:color="auto" w:fill="FFFFFF"/>
        </w:rPr>
        <w:t>8</w:t>
      </w:r>
      <w:r w:rsidRPr="006F61F3">
        <w:rPr>
          <w:color w:val="000000"/>
          <w:shd w:val="clear" w:color="auto" w:fill="FFFFFF"/>
        </w:rPr>
        <w:t>]</w:t>
      </w:r>
      <w:r w:rsidRPr="008E5E08">
        <w:rPr>
          <w:color w:val="000000"/>
          <w:shd w:val="clear" w:color="auto" w:fill="FFFFFF"/>
        </w:rPr>
        <w:t xml:space="preserve">. </w:t>
      </w:r>
      <w:r w:rsidRPr="00680168">
        <w:rPr>
          <w:color w:val="000000"/>
          <w:shd w:val="clear" w:color="auto" w:fill="FFFFFF"/>
        </w:rPr>
        <w:t>Вегетативные органы растений (хвоя</w:t>
      </w:r>
      <w:r>
        <w:rPr>
          <w:color w:val="000000"/>
          <w:shd w:val="clear" w:color="auto" w:fill="FFFFFF"/>
        </w:rPr>
        <w:t xml:space="preserve">, </w:t>
      </w:r>
      <w:r w:rsidRPr="00680168">
        <w:rPr>
          <w:color w:val="000000"/>
          <w:shd w:val="clear" w:color="auto" w:fill="FFFFFF"/>
        </w:rPr>
        <w:t xml:space="preserve">листья, молодые ветки) накапливают </w:t>
      </w:r>
      <w:proofErr w:type="spellStart"/>
      <w:r w:rsidRPr="00680168">
        <w:rPr>
          <w:color w:val="000000"/>
          <w:shd w:val="clear" w:color="auto" w:fill="FFFFFF"/>
        </w:rPr>
        <w:t>Mn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8E5E08">
        <w:rPr>
          <w:color w:val="000000"/>
          <w:shd w:val="clear" w:color="auto" w:fill="FFFFFF"/>
        </w:rPr>
        <w:t xml:space="preserve">из-за его </w:t>
      </w:r>
      <w:r>
        <w:rPr>
          <w:color w:val="000000"/>
          <w:shd w:val="clear" w:color="auto" w:fill="FFFFFF"/>
        </w:rPr>
        <w:t>участия</w:t>
      </w:r>
      <w:r w:rsidRPr="008E5E08">
        <w:rPr>
          <w:color w:val="000000"/>
          <w:shd w:val="clear" w:color="auto" w:fill="FFFFFF"/>
        </w:rPr>
        <w:t xml:space="preserve"> в фотосинтез</w:t>
      </w:r>
      <w:r>
        <w:rPr>
          <w:color w:val="000000"/>
          <w:shd w:val="clear" w:color="auto" w:fill="FFFFFF"/>
        </w:rPr>
        <w:t>е</w:t>
      </w:r>
      <w:r w:rsidRPr="008E5E08">
        <w:rPr>
          <w:color w:val="000000"/>
          <w:shd w:val="clear" w:color="auto" w:fill="FFFFFF"/>
        </w:rPr>
        <w:t xml:space="preserve"> и создании </w:t>
      </w:r>
      <w:proofErr w:type="spellStart"/>
      <w:r w:rsidRPr="008E5E08">
        <w:rPr>
          <w:color w:val="000000"/>
          <w:shd w:val="clear" w:color="auto" w:fill="FFFFFF"/>
        </w:rPr>
        <w:t>окислительно</w:t>
      </w:r>
      <w:proofErr w:type="spellEnd"/>
      <w:r w:rsidRPr="008E5E08">
        <w:rPr>
          <w:color w:val="000000"/>
          <w:shd w:val="clear" w:color="auto" w:fill="FFFFFF"/>
        </w:rPr>
        <w:t>-восст</w:t>
      </w:r>
      <w:r>
        <w:rPr>
          <w:color w:val="000000"/>
          <w:shd w:val="clear" w:color="auto" w:fill="FFFFFF"/>
        </w:rPr>
        <w:t xml:space="preserve">ановительных условий в клетках. </w:t>
      </w:r>
      <w:r w:rsidRPr="008E5E08">
        <w:rPr>
          <w:color w:val="000000"/>
          <w:shd w:val="clear" w:color="auto" w:fill="FFFFFF"/>
        </w:rPr>
        <w:t xml:space="preserve">Листья липы сердцевидной характеризуются интенсивным накоплением по сравнению с другими органами </w:t>
      </w:r>
      <w:r w:rsidRPr="00EC78CB">
        <w:rPr>
          <w:color w:val="000000"/>
          <w:shd w:val="clear" w:color="auto" w:fill="FFFFFF"/>
        </w:rPr>
        <w:t>растения</w:t>
      </w:r>
      <w:r w:rsidRPr="006B108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не только </w:t>
      </w:r>
      <w:r>
        <w:rPr>
          <w:color w:val="000000"/>
          <w:shd w:val="clear" w:color="auto" w:fill="FFFFFF"/>
          <w:lang w:val="en-US"/>
        </w:rPr>
        <w:t>Mn</w:t>
      </w:r>
      <w:r w:rsidRPr="00EB600C">
        <w:rPr>
          <w:color w:val="000000"/>
          <w:shd w:val="clear" w:color="auto" w:fill="FFFFFF"/>
          <w:vertAlign w:val="subscript"/>
        </w:rPr>
        <w:t>3,4</w:t>
      </w:r>
      <w:r w:rsidRPr="006B1087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но</w:t>
      </w:r>
      <w:r>
        <w:rPr>
          <w:color w:val="000000"/>
          <w:shd w:val="clear" w:color="auto" w:fill="FFFFFF"/>
          <w:vertAlign w:val="subscript"/>
        </w:rPr>
        <w:t xml:space="preserve"> </w:t>
      </w:r>
      <w:r w:rsidRPr="006B1087">
        <w:rPr>
          <w:color w:val="000000"/>
          <w:shd w:val="clear" w:color="auto" w:fill="FFFFFF"/>
        </w:rPr>
        <w:t xml:space="preserve">и </w:t>
      </w:r>
      <w:r w:rsidRPr="00EC78CB">
        <w:rPr>
          <w:color w:val="000000"/>
          <w:shd w:val="clear" w:color="auto" w:fill="FFFFFF"/>
        </w:rPr>
        <w:t>Cu</w:t>
      </w:r>
      <w:r w:rsidRPr="00EC78CB">
        <w:rPr>
          <w:color w:val="000000"/>
          <w:shd w:val="clear" w:color="auto" w:fill="FFFFFF"/>
          <w:vertAlign w:val="subscript"/>
        </w:rPr>
        <w:t>1,5</w:t>
      </w:r>
      <w:r>
        <w:rPr>
          <w:color w:val="000000"/>
          <w:shd w:val="clear" w:color="auto" w:fill="FFFFFF"/>
          <w:vertAlign w:val="subscript"/>
        </w:rPr>
        <w:t xml:space="preserve">, </w:t>
      </w:r>
      <w:r w:rsidRPr="00EC78CB">
        <w:rPr>
          <w:color w:val="000000"/>
          <w:shd w:val="clear" w:color="auto" w:fill="FFFFFF"/>
        </w:rPr>
        <w:t>Zr</w:t>
      </w:r>
      <w:r w:rsidRPr="00EC78CB">
        <w:rPr>
          <w:color w:val="000000"/>
          <w:shd w:val="clear" w:color="auto" w:fill="FFFFFF"/>
          <w:vertAlign w:val="subscript"/>
        </w:rPr>
        <w:t>1,9</w:t>
      </w:r>
      <w:r>
        <w:rPr>
          <w:color w:val="000000"/>
          <w:shd w:val="clear" w:color="auto" w:fill="FFFFFF"/>
          <w:vertAlign w:val="subscript"/>
        </w:rPr>
        <w:t xml:space="preserve">, </w:t>
      </w:r>
      <w:r w:rsidRPr="00EC78CB">
        <w:rPr>
          <w:color w:val="000000"/>
          <w:shd w:val="clear" w:color="auto" w:fill="FFFFFF"/>
        </w:rPr>
        <w:t>Fe</w:t>
      </w:r>
      <w:r w:rsidRPr="00EC78CB">
        <w:rPr>
          <w:color w:val="000000"/>
          <w:shd w:val="clear" w:color="auto" w:fill="FFFFFF"/>
          <w:vertAlign w:val="subscript"/>
        </w:rPr>
        <w:t>2,7</w:t>
      </w:r>
      <w:r w:rsidRPr="00EC78CB">
        <w:rPr>
          <w:color w:val="000000"/>
          <w:shd w:val="clear" w:color="auto" w:fill="FFFFFF"/>
        </w:rPr>
        <w:t>, Ti</w:t>
      </w:r>
      <w:r w:rsidRPr="00EC78CB">
        <w:rPr>
          <w:color w:val="000000"/>
          <w:shd w:val="clear" w:color="auto" w:fill="FFFFFF"/>
          <w:vertAlign w:val="subscript"/>
        </w:rPr>
        <w:t>2,7</w:t>
      </w:r>
      <w:r w:rsidRPr="00EC78CB">
        <w:rPr>
          <w:color w:val="000000"/>
          <w:shd w:val="clear" w:color="auto" w:fill="FFFFFF"/>
        </w:rPr>
        <w:t>.</w:t>
      </w:r>
    </w:p>
    <w:p w:rsidR="00B007E4" w:rsidRPr="004C6E3E" w:rsidRDefault="00B007E4" w:rsidP="00B007E4">
      <w:pPr>
        <w:tabs>
          <w:tab w:val="left" w:pos="1418"/>
        </w:tabs>
        <w:spacing w:before="0"/>
        <w:ind w:firstLine="284"/>
        <w:jc w:val="both"/>
        <w:rPr>
          <w:lang w:eastAsia="ru-RU"/>
        </w:rPr>
      </w:pPr>
      <w:r w:rsidRPr="0039088B">
        <w:rPr>
          <w:color w:val="000000"/>
        </w:rPr>
        <w:t xml:space="preserve">С помощью </w:t>
      </w:r>
      <w:r w:rsidRPr="00E559F0">
        <w:rPr>
          <w:color w:val="000000"/>
        </w:rPr>
        <w:t xml:space="preserve">коэффициента </w:t>
      </w:r>
      <w:r w:rsidRPr="00E559F0">
        <w:rPr>
          <w:color w:val="000000"/>
          <w:lang w:val="en-US"/>
        </w:rPr>
        <w:t>Ax</w:t>
      </w:r>
      <w:r w:rsidR="00E559F0" w:rsidRPr="00E559F0">
        <w:rPr>
          <w:color w:val="000000"/>
        </w:rPr>
        <w:t xml:space="preserve">, который рассчитывается как отношение количества элемента в золе растений к его </w:t>
      </w:r>
      <w:r w:rsidR="00CC3151">
        <w:rPr>
          <w:color w:val="000000"/>
        </w:rPr>
        <w:t xml:space="preserve">валовому </w:t>
      </w:r>
      <w:r w:rsidR="00E559F0" w:rsidRPr="00E559F0">
        <w:rPr>
          <w:color w:val="000000"/>
        </w:rPr>
        <w:t>среднему содержанию в почве (таблица 2)</w:t>
      </w:r>
      <w:r w:rsidR="00E559F0">
        <w:rPr>
          <w:color w:val="000000"/>
        </w:rPr>
        <w:t>,</w:t>
      </w:r>
      <w:r w:rsidRPr="00E559F0">
        <w:rPr>
          <w:color w:val="000000"/>
        </w:rPr>
        <w:t xml:space="preserve"> выявлены биологически подвижные микроэлементы, и группы</w:t>
      </w:r>
      <w:r w:rsidRPr="0039088B">
        <w:rPr>
          <w:color w:val="000000"/>
        </w:rPr>
        <w:t xml:space="preserve"> растений, наиболее активно участвующие в их поглощении из почвы. </w:t>
      </w:r>
      <w:r>
        <w:rPr>
          <w:color w:val="000000"/>
        </w:rPr>
        <w:t>Р</w:t>
      </w:r>
      <w:r w:rsidRPr="0039088B">
        <w:rPr>
          <w:color w:val="000000"/>
        </w:rPr>
        <w:t xml:space="preserve">астения древесного яруса имеют более высокие значения </w:t>
      </w:r>
      <w:r w:rsidRPr="0039088B">
        <w:rPr>
          <w:color w:val="000000"/>
          <w:lang w:val="en-US"/>
        </w:rPr>
        <w:t>Ax</w:t>
      </w:r>
      <w:r w:rsidRPr="0039088B">
        <w:rPr>
          <w:color w:val="000000"/>
        </w:rPr>
        <w:t>, чем растения травянистого яруса. Растения древесного яруса (</w:t>
      </w:r>
      <w:r w:rsidRPr="0039088B">
        <w:rPr>
          <w:color w:val="000000"/>
          <w:lang w:val="en-US"/>
        </w:rPr>
        <w:t>Ax</w:t>
      </w:r>
      <w:r w:rsidRPr="0039088B">
        <w:rPr>
          <w:color w:val="000000"/>
        </w:rPr>
        <w:t xml:space="preserve">≥10) интенсивнее поглощают из почв </w:t>
      </w:r>
      <w:r w:rsidRPr="0039088B">
        <w:rPr>
          <w:color w:val="000000"/>
          <w:lang w:val="en-US"/>
        </w:rPr>
        <w:t>Mn</w:t>
      </w:r>
      <w:r w:rsidRPr="0039088B">
        <w:rPr>
          <w:color w:val="000000"/>
        </w:rPr>
        <w:t xml:space="preserve">, </w:t>
      </w:r>
      <w:r>
        <w:rPr>
          <w:color w:val="000000"/>
          <w:lang w:val="en-US"/>
        </w:rPr>
        <w:t>Zn</w:t>
      </w:r>
      <w:r w:rsidRPr="0039088B">
        <w:rPr>
          <w:color w:val="000000"/>
        </w:rPr>
        <w:t xml:space="preserve">, </w:t>
      </w:r>
      <w:r w:rsidRPr="0039088B">
        <w:rPr>
          <w:color w:val="000000"/>
          <w:lang w:val="en-US"/>
        </w:rPr>
        <w:t>Cd</w:t>
      </w:r>
      <w:r>
        <w:rPr>
          <w:color w:val="000000"/>
        </w:rPr>
        <w:t>,</w:t>
      </w:r>
      <w:r w:rsidRPr="00073B53">
        <w:rPr>
          <w:color w:val="000000"/>
          <w:vertAlign w:val="subscript"/>
        </w:rPr>
        <w:t xml:space="preserve"> </w:t>
      </w:r>
      <w:r w:rsidRPr="0039088B">
        <w:rPr>
          <w:color w:val="000000"/>
        </w:rPr>
        <w:t xml:space="preserve">которые в соответствии с рядами А.И. </w:t>
      </w:r>
      <w:r w:rsidRPr="0039088B">
        <w:rPr>
          <w:color w:val="000000"/>
        </w:rPr>
        <w:lastRenderedPageBreak/>
        <w:t xml:space="preserve">Перельмана во </w:t>
      </w:r>
      <w:r w:rsidRPr="00EB600C">
        <w:rPr>
          <w:color w:val="000000"/>
        </w:rPr>
        <w:t>многих случаях относятся к элементам энергичного накопления (</w:t>
      </w:r>
      <w:r w:rsidRPr="00EB600C">
        <w:rPr>
          <w:color w:val="000000"/>
          <w:lang w:val="en-US"/>
        </w:rPr>
        <w:t>Ax</w:t>
      </w:r>
      <w:r w:rsidRPr="00EB600C">
        <w:rPr>
          <w:color w:val="000000"/>
        </w:rPr>
        <w:t xml:space="preserve">&gt;100). </w:t>
      </w:r>
      <w:r w:rsidRPr="00EB600C">
        <w:rPr>
          <w:lang w:eastAsia="ru-RU"/>
        </w:rPr>
        <w:t xml:space="preserve">К элементам сильного накопления с </w:t>
      </w:r>
      <w:r w:rsidRPr="00EB600C">
        <w:rPr>
          <w:lang w:val="en-US" w:eastAsia="ru-RU"/>
        </w:rPr>
        <w:t>Ax</w:t>
      </w:r>
      <w:r w:rsidRPr="00EB600C">
        <w:rPr>
          <w:lang w:eastAsia="ru-RU"/>
        </w:rPr>
        <w:t>=1</w:t>
      </w:r>
      <w:r>
        <w:rPr>
          <w:color w:val="000000"/>
          <w:shd w:val="clear" w:color="auto" w:fill="FFFFFF"/>
        </w:rPr>
        <w:t>–</w:t>
      </w:r>
      <w:r w:rsidRPr="00EB600C">
        <w:rPr>
          <w:lang w:eastAsia="ru-RU"/>
        </w:rPr>
        <w:t>10 во всех ландшафтах относятся </w:t>
      </w:r>
      <w:r w:rsidRPr="00EB600C">
        <w:rPr>
          <w:lang w:val="en-US" w:eastAsia="ru-RU"/>
        </w:rPr>
        <w:t>Ni</w:t>
      </w:r>
      <w:r w:rsidRPr="00EB600C">
        <w:rPr>
          <w:lang w:eastAsia="ru-RU"/>
        </w:rPr>
        <w:t>, </w:t>
      </w:r>
      <w:r w:rsidRPr="00EB600C">
        <w:rPr>
          <w:lang w:val="en-US" w:eastAsia="ru-RU"/>
        </w:rPr>
        <w:t>Pb</w:t>
      </w:r>
      <w:r w:rsidRPr="00EB600C">
        <w:rPr>
          <w:lang w:eastAsia="ru-RU"/>
        </w:rPr>
        <w:t>, </w:t>
      </w:r>
      <w:r w:rsidRPr="00EB600C">
        <w:rPr>
          <w:lang w:val="en-US" w:eastAsia="ru-RU"/>
        </w:rPr>
        <w:t>Co</w:t>
      </w:r>
      <w:r w:rsidRPr="00EB600C">
        <w:rPr>
          <w:lang w:eastAsia="ru-RU"/>
        </w:rPr>
        <w:t>, </w:t>
      </w:r>
      <w:r w:rsidRPr="00EB600C">
        <w:rPr>
          <w:lang w:val="en-US" w:eastAsia="ru-RU"/>
        </w:rPr>
        <w:t>Sr</w:t>
      </w:r>
      <w:r w:rsidRPr="00EB600C">
        <w:rPr>
          <w:lang w:eastAsia="ru-RU"/>
        </w:rPr>
        <w:t>, при этом, </w:t>
      </w:r>
      <w:r w:rsidRPr="00EB600C">
        <w:rPr>
          <w:lang w:val="en-US" w:eastAsia="ru-RU"/>
        </w:rPr>
        <w:t>Co </w:t>
      </w:r>
      <w:r w:rsidRPr="00EB600C">
        <w:rPr>
          <w:lang w:eastAsia="ru-RU"/>
        </w:rPr>
        <w:t>и </w:t>
      </w:r>
      <w:r w:rsidRPr="00EB600C">
        <w:rPr>
          <w:lang w:val="en-US" w:eastAsia="ru-RU"/>
        </w:rPr>
        <w:t>Sr </w:t>
      </w:r>
      <w:r w:rsidRPr="00EB600C">
        <w:rPr>
          <w:lang w:eastAsia="ru-RU"/>
        </w:rPr>
        <w:t xml:space="preserve">накапливаются в ветках. Менее интенсивно вовлекаются </w:t>
      </w:r>
      <w:r w:rsidRPr="00EB600C">
        <w:rPr>
          <w:lang w:val="en-US" w:eastAsia="ru-RU"/>
        </w:rPr>
        <w:t>Cu</w:t>
      </w:r>
      <w:r w:rsidRPr="00EB600C">
        <w:rPr>
          <w:vertAlign w:val="subscript"/>
          <w:lang w:eastAsia="ru-RU"/>
        </w:rPr>
        <w:t>0,07-0,9</w:t>
      </w:r>
      <w:r w:rsidRPr="00EB600C">
        <w:rPr>
          <w:lang w:eastAsia="ru-RU"/>
        </w:rPr>
        <w:t>, С</w:t>
      </w:r>
      <w:r w:rsidRPr="00EB600C">
        <w:rPr>
          <w:lang w:val="en-US" w:eastAsia="ru-RU"/>
        </w:rPr>
        <w:t>r</w:t>
      </w:r>
      <w:r w:rsidRPr="00EB600C">
        <w:rPr>
          <w:vertAlign w:val="subscript"/>
          <w:lang w:eastAsia="ru-RU"/>
        </w:rPr>
        <w:t xml:space="preserve">0-0,7 </w:t>
      </w:r>
      <w:r w:rsidRPr="00EB600C">
        <w:rPr>
          <w:lang w:eastAsia="ru-RU"/>
        </w:rPr>
        <w:t>и </w:t>
      </w:r>
      <w:r w:rsidRPr="00EB600C">
        <w:rPr>
          <w:lang w:val="en-US" w:eastAsia="ru-RU"/>
        </w:rPr>
        <w:t>Fe</w:t>
      </w:r>
      <w:r w:rsidRPr="00EB600C">
        <w:rPr>
          <w:vertAlign w:val="subscript"/>
          <w:lang w:eastAsia="ru-RU"/>
        </w:rPr>
        <w:t>0,013-0,6</w:t>
      </w:r>
      <w:r w:rsidRPr="00EB600C">
        <w:rPr>
          <w:lang w:eastAsia="ru-RU"/>
        </w:rPr>
        <w:t>, однако интенсивность накопления элементов варьирует в зависимости от вида, например, </w:t>
      </w:r>
      <w:r w:rsidRPr="00EB600C">
        <w:rPr>
          <w:lang w:val="en-US" w:eastAsia="ru-RU"/>
        </w:rPr>
        <w:t>Fe</w:t>
      </w:r>
      <w:r w:rsidRPr="00EB600C">
        <w:rPr>
          <w:lang w:eastAsia="ru-RU"/>
        </w:rPr>
        <w:t xml:space="preserve"> наиболее биологически актив</w:t>
      </w:r>
      <w:r>
        <w:rPr>
          <w:lang w:eastAsia="ru-RU"/>
        </w:rPr>
        <w:t>но</w:t>
      </w:r>
      <w:r w:rsidRPr="00EB600C">
        <w:rPr>
          <w:lang w:eastAsia="ru-RU"/>
        </w:rPr>
        <w:t xml:space="preserve"> в травянистых растениях, чем древесных. Слабее всего участвуют в биологическом круговороте </w:t>
      </w:r>
      <w:r w:rsidRPr="00EB600C">
        <w:rPr>
          <w:lang w:val="en-US" w:eastAsia="ru-RU"/>
        </w:rPr>
        <w:t>Zr</w:t>
      </w:r>
      <w:r w:rsidRPr="00EB600C">
        <w:rPr>
          <w:vertAlign w:val="subscript"/>
          <w:lang w:eastAsia="ru-RU"/>
        </w:rPr>
        <w:t>0,001-0,7</w:t>
      </w:r>
      <w:r w:rsidRPr="00EB600C">
        <w:rPr>
          <w:vertAlign w:val="subscript"/>
          <w:lang w:val="en-US" w:eastAsia="ru-RU"/>
        </w:rPr>
        <w:t> </w:t>
      </w:r>
      <w:r w:rsidRPr="00EB600C">
        <w:rPr>
          <w:lang w:eastAsia="ru-RU"/>
        </w:rPr>
        <w:t>и </w:t>
      </w:r>
      <w:r w:rsidRPr="00EB600C">
        <w:rPr>
          <w:lang w:val="en-US" w:eastAsia="ru-RU"/>
        </w:rPr>
        <w:t>Ti</w:t>
      </w:r>
      <w:r w:rsidRPr="00EB600C">
        <w:rPr>
          <w:vertAlign w:val="subscript"/>
          <w:lang w:eastAsia="ru-RU"/>
        </w:rPr>
        <w:t>0</w:t>
      </w:r>
      <w:r w:rsidRPr="004C6E3E">
        <w:rPr>
          <w:vertAlign w:val="subscript"/>
          <w:lang w:eastAsia="ru-RU"/>
        </w:rPr>
        <w:t>,001</w:t>
      </w:r>
      <w:r w:rsidRPr="00EB600C">
        <w:rPr>
          <w:vertAlign w:val="subscript"/>
          <w:lang w:eastAsia="ru-RU"/>
        </w:rPr>
        <w:t>-0,2</w:t>
      </w:r>
      <w:r w:rsidRPr="004C6E3E">
        <w:rPr>
          <w:lang w:eastAsia="ru-RU"/>
        </w:rPr>
        <w:t>.</w:t>
      </w:r>
    </w:p>
    <w:p w:rsidR="00B007E4" w:rsidRPr="00EC78CB" w:rsidRDefault="00B007E4" w:rsidP="00B007E4">
      <w:pPr>
        <w:spacing w:before="0"/>
        <w:ind w:firstLine="284"/>
        <w:jc w:val="right"/>
      </w:pPr>
      <w:r w:rsidRPr="00EC78CB">
        <w:t xml:space="preserve">Таблица </w:t>
      </w:r>
      <w:r>
        <w:t>2</w:t>
      </w:r>
    </w:p>
    <w:p w:rsidR="00B007E4" w:rsidRPr="00EA4736" w:rsidRDefault="00B007E4" w:rsidP="00B007E4">
      <w:pPr>
        <w:spacing w:before="0"/>
        <w:jc w:val="center"/>
        <w:rPr>
          <w:b/>
        </w:rPr>
      </w:pPr>
      <w:r w:rsidRPr="00EA4736">
        <w:rPr>
          <w:b/>
        </w:rPr>
        <w:t xml:space="preserve">Среднее валовое содержание элементов в почвах </w:t>
      </w:r>
      <w:proofErr w:type="spellStart"/>
      <w:r w:rsidRPr="00EA4736">
        <w:rPr>
          <w:b/>
        </w:rPr>
        <w:t>катены</w:t>
      </w:r>
      <w:proofErr w:type="spellEnd"/>
    </w:p>
    <w:tbl>
      <w:tblPr>
        <w:tblStyle w:val="a4"/>
        <w:tblW w:w="5078" w:type="pct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850"/>
        <w:gridCol w:w="849"/>
        <w:gridCol w:w="853"/>
        <w:gridCol w:w="710"/>
        <w:gridCol w:w="708"/>
        <w:gridCol w:w="710"/>
        <w:gridCol w:w="555"/>
        <w:gridCol w:w="710"/>
        <w:gridCol w:w="726"/>
        <w:gridCol w:w="710"/>
        <w:gridCol w:w="565"/>
        <w:gridCol w:w="710"/>
      </w:tblGrid>
      <w:tr w:rsidR="00B007E4" w:rsidRPr="00244037" w:rsidTr="00B007E4">
        <w:trPr>
          <w:jc w:val="center"/>
        </w:trPr>
        <w:tc>
          <w:tcPr>
            <w:tcW w:w="574" w:type="pct"/>
            <w:vMerge w:val="restar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</w:t>
            </w:r>
          </w:p>
        </w:tc>
        <w:tc>
          <w:tcPr>
            <w:tcW w:w="4426" w:type="pct"/>
            <w:gridSpan w:val="12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sz w:val="22"/>
                <w:szCs w:val="22"/>
              </w:rPr>
            </w:pPr>
            <w:r w:rsidRPr="00244037">
              <w:rPr>
                <w:sz w:val="22"/>
                <w:szCs w:val="22"/>
              </w:rPr>
              <w:t>Элементы, мг/кг</w:t>
            </w:r>
          </w:p>
        </w:tc>
      </w:tr>
      <w:tr w:rsidR="00B007E4" w:rsidRPr="00244037" w:rsidTr="00B007E4">
        <w:trPr>
          <w:jc w:val="center"/>
        </w:trPr>
        <w:tc>
          <w:tcPr>
            <w:tcW w:w="574" w:type="pct"/>
            <w:vMerge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43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  <w:lang w:val="en-US"/>
              </w:rPr>
              <w:t>Fe</w:t>
            </w:r>
          </w:p>
        </w:tc>
        <w:tc>
          <w:tcPr>
            <w:tcW w:w="436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Mn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Cr</w:t>
            </w:r>
            <w:proofErr w:type="spellEnd"/>
          </w:p>
        </w:tc>
        <w:tc>
          <w:tcPr>
            <w:tcW w:w="362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Co</w:t>
            </w:r>
            <w:proofErr w:type="spellEnd"/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284" w:type="pct"/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Zn</w:t>
            </w:r>
            <w:proofErr w:type="spellEnd"/>
          </w:p>
        </w:tc>
        <w:tc>
          <w:tcPr>
            <w:tcW w:w="371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Zr</w:t>
            </w:r>
            <w:proofErr w:type="spellEnd"/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Sr</w:t>
            </w:r>
            <w:proofErr w:type="spellEnd"/>
          </w:p>
        </w:tc>
        <w:tc>
          <w:tcPr>
            <w:tcW w:w="289" w:type="pct"/>
            <w:vAlign w:val="center"/>
          </w:tcPr>
          <w:p w:rsidR="00B007E4" w:rsidRPr="00244037" w:rsidRDefault="00B007E4" w:rsidP="00C62C25">
            <w:pPr>
              <w:spacing w:before="0"/>
              <w:ind w:left="-10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Pb</w:t>
            </w:r>
            <w:proofErr w:type="spellEnd"/>
          </w:p>
        </w:tc>
        <w:tc>
          <w:tcPr>
            <w:tcW w:w="36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Cd</w:t>
            </w:r>
            <w:proofErr w:type="spellEnd"/>
          </w:p>
        </w:tc>
      </w:tr>
      <w:tr w:rsidR="00B007E4" w:rsidRPr="00244037" w:rsidTr="00C62C25">
        <w:trPr>
          <w:jc w:val="center"/>
        </w:trPr>
        <w:tc>
          <w:tcPr>
            <w:tcW w:w="5000" w:type="pct"/>
            <w:gridSpan w:val="13"/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Автономный ландшафт</w:t>
            </w:r>
          </w:p>
        </w:tc>
      </w:tr>
      <w:tr w:rsidR="00B007E4" w:rsidRPr="00244037" w:rsidTr="00B007E4">
        <w:trPr>
          <w:trHeight w:val="217"/>
          <w:jc w:val="center"/>
        </w:trPr>
        <w:tc>
          <w:tcPr>
            <w:tcW w:w="57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sz w:val="22"/>
                <w:szCs w:val="22"/>
              </w:rPr>
            </w:pPr>
            <w:r w:rsidRPr="00244037">
              <w:rPr>
                <w:sz w:val="22"/>
                <w:szCs w:val="22"/>
              </w:rPr>
              <w:t>ЦЛЗ-0</w:t>
            </w:r>
          </w:p>
        </w:tc>
        <w:tc>
          <w:tcPr>
            <w:tcW w:w="435" w:type="pct"/>
            <w:vAlign w:val="center"/>
          </w:tcPr>
          <w:p w:rsidR="00B007E4" w:rsidRPr="00244037" w:rsidRDefault="00B007E4" w:rsidP="00C62C25">
            <w:pPr>
              <w:spacing w:before="0"/>
              <w:ind w:left="-3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4037">
              <w:rPr>
                <w:color w:val="000000"/>
                <w:sz w:val="22"/>
                <w:szCs w:val="22"/>
              </w:rPr>
              <w:t>2905</w:t>
            </w:r>
          </w:p>
        </w:tc>
        <w:tc>
          <w:tcPr>
            <w:tcW w:w="43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436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2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284" w:type="pct"/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403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1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9" w:type="pct"/>
            <w:vAlign w:val="center"/>
          </w:tcPr>
          <w:p w:rsidR="00B007E4" w:rsidRPr="00244037" w:rsidRDefault="00B007E4" w:rsidP="00C62C25">
            <w:pPr>
              <w:spacing w:before="0"/>
              <w:ind w:left="-106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B007E4" w:rsidRPr="00244037" w:rsidTr="00C62C25">
        <w:trPr>
          <w:trHeight w:val="180"/>
          <w:jc w:val="center"/>
        </w:trPr>
        <w:tc>
          <w:tcPr>
            <w:tcW w:w="5000" w:type="pct"/>
            <w:gridSpan w:val="13"/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4037">
              <w:rPr>
                <w:color w:val="000000"/>
                <w:sz w:val="22"/>
                <w:szCs w:val="22"/>
              </w:rPr>
              <w:t>Трансэлювиальный</w:t>
            </w:r>
            <w:proofErr w:type="spellEnd"/>
            <w:r w:rsidRPr="00244037">
              <w:rPr>
                <w:color w:val="000000"/>
                <w:sz w:val="22"/>
                <w:szCs w:val="22"/>
              </w:rPr>
              <w:t xml:space="preserve"> ландшафт</w:t>
            </w:r>
          </w:p>
        </w:tc>
      </w:tr>
      <w:tr w:rsidR="00B007E4" w:rsidRPr="00244037" w:rsidTr="00B007E4">
        <w:trPr>
          <w:jc w:val="center"/>
        </w:trPr>
        <w:tc>
          <w:tcPr>
            <w:tcW w:w="57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sz w:val="22"/>
                <w:szCs w:val="22"/>
              </w:rPr>
            </w:pPr>
            <w:r w:rsidRPr="00244037">
              <w:rPr>
                <w:sz w:val="22"/>
                <w:szCs w:val="22"/>
              </w:rPr>
              <w:t>ЦЛЗ-1</w:t>
            </w:r>
          </w:p>
        </w:tc>
        <w:tc>
          <w:tcPr>
            <w:tcW w:w="435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4037">
              <w:rPr>
                <w:color w:val="000000"/>
                <w:sz w:val="22"/>
                <w:szCs w:val="22"/>
              </w:rPr>
              <w:t>2992</w:t>
            </w:r>
          </w:p>
        </w:tc>
        <w:tc>
          <w:tcPr>
            <w:tcW w:w="43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11114</w:t>
            </w:r>
          </w:p>
        </w:tc>
        <w:tc>
          <w:tcPr>
            <w:tcW w:w="436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2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284" w:type="pct"/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1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89" w:type="pct"/>
            <w:vAlign w:val="center"/>
          </w:tcPr>
          <w:p w:rsidR="00B007E4" w:rsidRPr="00244037" w:rsidRDefault="00B007E4" w:rsidP="00C62C25">
            <w:pPr>
              <w:spacing w:before="0"/>
              <w:ind w:left="-106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4" w:type="pct"/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B007E4" w:rsidRPr="00244037" w:rsidTr="00C62C25">
        <w:trPr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Трансэлювиально-супераквальный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ландшафт</w:t>
            </w:r>
          </w:p>
        </w:tc>
      </w:tr>
      <w:tr w:rsidR="00B007E4" w:rsidRPr="00244037" w:rsidTr="00B007E4">
        <w:trPr>
          <w:jc w:val="center"/>
        </w:trPr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ЦЛЗ-3/1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4037">
              <w:rPr>
                <w:color w:val="000000"/>
                <w:sz w:val="22"/>
                <w:szCs w:val="22"/>
              </w:rPr>
              <w:t>262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63" w:type="pct"/>
            <w:tcBorders>
              <w:bottom w:val="single" w:sz="2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40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ind w:left="-106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44037">
              <w:rPr>
                <w:color w:val="000000"/>
                <w:sz w:val="22"/>
                <w:szCs w:val="22"/>
              </w:rPr>
              <w:t>2</w:t>
            </w:r>
          </w:p>
        </w:tc>
      </w:tr>
      <w:tr w:rsidR="00B007E4" w:rsidRPr="00244037" w:rsidTr="00B007E4">
        <w:trPr>
          <w:jc w:val="center"/>
        </w:trPr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sz w:val="22"/>
                <w:szCs w:val="22"/>
              </w:rPr>
            </w:pPr>
            <w:r w:rsidRPr="00244037">
              <w:rPr>
                <w:sz w:val="22"/>
                <w:szCs w:val="22"/>
              </w:rPr>
              <w:t>ЦЛЗ-3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4037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9886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403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B007E4" w:rsidRPr="00244037" w:rsidRDefault="00B007E4" w:rsidP="00C62C25">
            <w:pPr>
              <w:spacing w:before="0"/>
              <w:ind w:left="-106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B007E4" w:rsidRPr="00B007E4" w:rsidRDefault="00B007E4" w:rsidP="00C62C25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244037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</w:tr>
    </w:tbl>
    <w:p w:rsidR="00B007E4" w:rsidRPr="00680168" w:rsidRDefault="00B007E4" w:rsidP="00B007E4">
      <w:pPr>
        <w:spacing w:before="0"/>
        <w:ind w:firstLine="284"/>
        <w:jc w:val="both"/>
      </w:pPr>
      <w:r w:rsidRPr="0039088B">
        <w:t>Самая высокая биогеохимическая активность из растений древесного яруса характерна для ели обыкновенной (БХА=61</w:t>
      </w:r>
      <w:r>
        <w:rPr>
          <w:color w:val="000000"/>
          <w:shd w:val="clear" w:color="auto" w:fill="FFFFFF"/>
        </w:rPr>
        <w:t>–</w:t>
      </w:r>
      <w:r w:rsidRPr="0039088B">
        <w:t>108) и клена остролистного (БХА=69</w:t>
      </w:r>
      <w:r>
        <w:rPr>
          <w:color w:val="000000"/>
          <w:shd w:val="clear" w:color="auto" w:fill="FFFFFF"/>
        </w:rPr>
        <w:t>–</w:t>
      </w:r>
      <w:r w:rsidRPr="0039088B">
        <w:t>156), а также ивы козьей (БХА=86), а наименьшая – для липы сердцевидной (БХА=19</w:t>
      </w:r>
      <w:r>
        <w:rPr>
          <w:color w:val="000000"/>
          <w:shd w:val="clear" w:color="auto" w:fill="FFFFFF"/>
        </w:rPr>
        <w:t>–</w:t>
      </w:r>
      <w:r w:rsidRPr="0039088B">
        <w:t xml:space="preserve">39) и вяза шершавого (БХА=6). Среди растений травянистого и мохового яруса химические элементы активнее поглощает сфагнум (БХА=109). Также высокую биогеохимическую активность проявляют звездчатка </w:t>
      </w:r>
      <w:proofErr w:type="spellStart"/>
      <w:r w:rsidRPr="0039088B">
        <w:t>ланцетолистная</w:t>
      </w:r>
      <w:proofErr w:type="spellEnd"/>
      <w:r w:rsidRPr="0039088B">
        <w:t xml:space="preserve"> (БХА=76</w:t>
      </w:r>
      <w:r>
        <w:rPr>
          <w:color w:val="000000"/>
          <w:shd w:val="clear" w:color="auto" w:fill="FFFFFF"/>
        </w:rPr>
        <w:t>–</w:t>
      </w:r>
      <w:r w:rsidRPr="0039088B">
        <w:t>80) и листья черники обыкновенной (БХА=53</w:t>
      </w:r>
      <w:r>
        <w:rPr>
          <w:color w:val="000000"/>
          <w:shd w:val="clear" w:color="auto" w:fill="FFFFFF"/>
        </w:rPr>
        <w:t>–</w:t>
      </w:r>
      <w:r w:rsidRPr="0039088B">
        <w:t>98). Большинство растений травяно-кустарничкового яруса обладают низк</w:t>
      </w:r>
      <w:r>
        <w:t xml:space="preserve">ой биогеохимической активностью, особенно кислица обыкновенная и </w:t>
      </w:r>
      <w:r w:rsidRPr="0039088B">
        <w:t>хвощ лесно</w:t>
      </w:r>
      <w:r>
        <w:t>й</w:t>
      </w:r>
      <w:r w:rsidRPr="0039088B">
        <w:t xml:space="preserve"> (</w:t>
      </w:r>
      <w:r>
        <w:t xml:space="preserve">у последнего </w:t>
      </w:r>
      <w:r w:rsidRPr="0039088B">
        <w:t>БХА=7</w:t>
      </w:r>
      <w:r>
        <w:t xml:space="preserve"> в </w:t>
      </w:r>
      <w:proofErr w:type="spellStart"/>
      <w:r>
        <w:t>трансэлювиальном</w:t>
      </w:r>
      <w:proofErr w:type="spellEnd"/>
      <w:r>
        <w:t xml:space="preserve"> ландшафте склона)</w:t>
      </w:r>
      <w:r w:rsidRPr="0039088B">
        <w:t>.</w:t>
      </w:r>
      <w:r w:rsidRPr="006B1087">
        <w:t xml:space="preserve"> </w:t>
      </w:r>
      <w:r>
        <w:t>По</w:t>
      </w:r>
      <w:r w:rsidRPr="0039088B">
        <w:t xml:space="preserve"> данно</w:t>
      </w:r>
      <w:r>
        <w:t>му</w:t>
      </w:r>
      <w:r w:rsidRPr="0039088B">
        <w:t xml:space="preserve"> коэффициент</w:t>
      </w:r>
      <w:r>
        <w:t>у</w:t>
      </w:r>
      <w:r w:rsidRPr="0039088B">
        <w:t xml:space="preserve"> выяв</w:t>
      </w:r>
      <w:r>
        <w:t>лены</w:t>
      </w:r>
      <w:r w:rsidRPr="0039088B">
        <w:t xml:space="preserve"> изменения биогеохимической активности разных видов растений в зависимости от </w:t>
      </w:r>
      <w:r>
        <w:t xml:space="preserve">места </w:t>
      </w:r>
      <w:proofErr w:type="spellStart"/>
      <w:r>
        <w:t>произрастения</w:t>
      </w:r>
      <w:proofErr w:type="spellEnd"/>
      <w:r w:rsidRPr="0039088B">
        <w:t xml:space="preserve">. </w:t>
      </w:r>
      <w:proofErr w:type="spellStart"/>
      <w:r>
        <w:t>Српеди</w:t>
      </w:r>
      <w:proofErr w:type="spellEnd"/>
      <w:r w:rsidRPr="0039088B">
        <w:t xml:space="preserve"> древесного яруса в биологическом поглощении элементов наиболее активно участвует ель </w:t>
      </w:r>
      <w:r w:rsidRPr="00680168">
        <w:t xml:space="preserve">обыкновенная в автономном и </w:t>
      </w:r>
      <w:proofErr w:type="spellStart"/>
      <w:r w:rsidRPr="00680168">
        <w:t>трансэлювиальном</w:t>
      </w:r>
      <w:proofErr w:type="spellEnd"/>
      <w:r w:rsidRPr="00680168">
        <w:t xml:space="preserve"> ландшафтах (БХА=108 и 72 соответственно), а в подчиненных </w:t>
      </w:r>
      <w:proofErr w:type="spellStart"/>
      <w:proofErr w:type="gramStart"/>
      <w:r w:rsidRPr="00680168">
        <w:t>полугидроморфных</w:t>
      </w:r>
      <w:proofErr w:type="spellEnd"/>
      <w:r w:rsidRPr="00680168">
        <w:t xml:space="preserve"> </w:t>
      </w:r>
      <w:r w:rsidRPr="00680168">
        <w:sym w:font="Symbol" w:char="F02D"/>
      </w:r>
      <w:r w:rsidRPr="00680168">
        <w:t xml:space="preserve"> клен</w:t>
      </w:r>
      <w:proofErr w:type="gramEnd"/>
      <w:r w:rsidRPr="00680168">
        <w:t xml:space="preserve"> остролистный (БХА=156). Меньше всего ландшафтно-геохимические условия влияют на биогеохимическую активность липы сердцевидной, </w:t>
      </w:r>
      <w:r>
        <w:t>э</w:t>
      </w:r>
      <w:r w:rsidRPr="00680168">
        <w:t xml:space="preserve">тот вид обладает наименьшей вариабельностью химического состава зеленой </w:t>
      </w:r>
      <w:proofErr w:type="spellStart"/>
      <w:r w:rsidRPr="00680168">
        <w:t>фитомассы</w:t>
      </w:r>
      <w:proofErr w:type="spellEnd"/>
      <w:r w:rsidRPr="00680168">
        <w:t xml:space="preserve"> (БХА=19</w:t>
      </w:r>
      <w:r>
        <w:rPr>
          <w:color w:val="000000"/>
          <w:shd w:val="clear" w:color="auto" w:fill="FFFFFF"/>
        </w:rPr>
        <w:t>–</w:t>
      </w:r>
      <w:r w:rsidRPr="00680168">
        <w:t xml:space="preserve">39). Из сквозных видов растений травяно-кустарничкового яруса кислица обыкновенная проявляет наибольшую биогеохимическую активность в нижнем звене </w:t>
      </w:r>
      <w:proofErr w:type="spellStart"/>
      <w:r w:rsidRPr="00680168">
        <w:t>катены</w:t>
      </w:r>
      <w:proofErr w:type="spellEnd"/>
      <w:r w:rsidRPr="00680168">
        <w:t xml:space="preserve"> (БХА=33). </w:t>
      </w:r>
    </w:p>
    <w:p w:rsidR="00B007E4" w:rsidRPr="00680168" w:rsidRDefault="00B007E4" w:rsidP="00B007E4">
      <w:pPr>
        <w:spacing w:before="0"/>
        <w:ind w:firstLine="284"/>
        <w:jc w:val="both"/>
        <w:rPr>
          <w:color w:val="000000"/>
        </w:rPr>
      </w:pPr>
      <w:r>
        <w:rPr>
          <w:b/>
          <w:color w:val="000000"/>
        </w:rPr>
        <w:t>Выводы</w:t>
      </w:r>
      <w:r w:rsidRPr="00680168">
        <w:rPr>
          <w:color w:val="000000"/>
        </w:rPr>
        <w:t xml:space="preserve"> </w:t>
      </w:r>
    </w:p>
    <w:p w:rsidR="00B007E4" w:rsidRPr="00680168" w:rsidRDefault="00B007E4" w:rsidP="00B007E4">
      <w:pPr>
        <w:spacing w:before="0"/>
        <w:ind w:firstLine="284"/>
        <w:jc w:val="both"/>
        <w:rPr>
          <w:color w:val="000000"/>
        </w:rPr>
      </w:pPr>
      <w:r w:rsidRPr="00680168">
        <w:rPr>
          <w:color w:val="000000"/>
        </w:rPr>
        <w:t xml:space="preserve">Биогеохимическая дифференциация лесных сообществ </w:t>
      </w:r>
      <w:proofErr w:type="spellStart"/>
      <w:r w:rsidRPr="00680168">
        <w:rPr>
          <w:color w:val="000000"/>
        </w:rPr>
        <w:t>катены</w:t>
      </w:r>
      <w:proofErr w:type="spellEnd"/>
      <w:r w:rsidRPr="00680168">
        <w:rPr>
          <w:color w:val="000000"/>
        </w:rPr>
        <w:t xml:space="preserve"> определяется структурой фитоценозов. Большинство древесных пород изученных лесных сообществ </w:t>
      </w:r>
      <w:proofErr w:type="spellStart"/>
      <w:r w:rsidRPr="00680168">
        <w:rPr>
          <w:color w:val="000000"/>
        </w:rPr>
        <w:t>катены</w:t>
      </w:r>
      <w:proofErr w:type="spellEnd"/>
      <w:r w:rsidRPr="00680168">
        <w:rPr>
          <w:color w:val="000000"/>
        </w:rPr>
        <w:t xml:space="preserve"> в листьях накапливают </w:t>
      </w:r>
      <w:proofErr w:type="spellStart"/>
      <w:r w:rsidRPr="00680168">
        <w:rPr>
          <w:color w:val="000000"/>
        </w:rPr>
        <w:t>Mn</w:t>
      </w:r>
      <w:proofErr w:type="spellEnd"/>
      <w:r w:rsidRPr="00680168">
        <w:rPr>
          <w:color w:val="000000"/>
        </w:rPr>
        <w:t xml:space="preserve"> и </w:t>
      </w:r>
      <w:proofErr w:type="spellStart"/>
      <w:r w:rsidRPr="00680168">
        <w:rPr>
          <w:color w:val="000000"/>
        </w:rPr>
        <w:t>Zn</w:t>
      </w:r>
      <w:proofErr w:type="spellEnd"/>
      <w:r w:rsidRPr="00680168">
        <w:rPr>
          <w:color w:val="000000"/>
        </w:rPr>
        <w:t xml:space="preserve">, а также </w:t>
      </w:r>
      <w:proofErr w:type="spellStart"/>
      <w:r w:rsidRPr="00680168">
        <w:rPr>
          <w:color w:val="000000"/>
        </w:rPr>
        <w:t>Сo</w:t>
      </w:r>
      <w:proofErr w:type="spellEnd"/>
      <w:r w:rsidRPr="00680168">
        <w:rPr>
          <w:color w:val="000000"/>
        </w:rPr>
        <w:t xml:space="preserve"> и </w:t>
      </w:r>
      <w:proofErr w:type="spellStart"/>
      <w:r w:rsidRPr="00680168">
        <w:rPr>
          <w:color w:val="000000"/>
        </w:rPr>
        <w:t>Сd</w:t>
      </w:r>
      <w:proofErr w:type="spellEnd"/>
      <w:r w:rsidRPr="00680168">
        <w:rPr>
          <w:color w:val="000000"/>
        </w:rPr>
        <w:t xml:space="preserve">, в то время как растения травянисто-кустарничкового яруса относительно древесных концентрируют элементы с низкой </w:t>
      </w:r>
      <w:proofErr w:type="spellStart"/>
      <w:r w:rsidRPr="00680168">
        <w:rPr>
          <w:color w:val="000000"/>
        </w:rPr>
        <w:t>биофильностью</w:t>
      </w:r>
      <w:proofErr w:type="spellEnd"/>
      <w:r w:rsidRPr="00680168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 w:rsidRPr="00680168">
        <w:rPr>
          <w:color w:val="000000"/>
        </w:rPr>
        <w:t>Ti</w:t>
      </w:r>
      <w:proofErr w:type="spellEnd"/>
      <w:r w:rsidRPr="00680168">
        <w:rPr>
          <w:color w:val="000000"/>
        </w:rPr>
        <w:t xml:space="preserve">, </w:t>
      </w:r>
      <w:proofErr w:type="spellStart"/>
      <w:r w:rsidRPr="00680168">
        <w:rPr>
          <w:color w:val="000000"/>
        </w:rPr>
        <w:t>Fe</w:t>
      </w:r>
      <w:proofErr w:type="spellEnd"/>
      <w:r w:rsidRPr="00680168">
        <w:rPr>
          <w:color w:val="000000"/>
        </w:rPr>
        <w:t xml:space="preserve">, </w:t>
      </w:r>
      <w:proofErr w:type="spellStart"/>
      <w:r w:rsidRPr="00680168">
        <w:rPr>
          <w:color w:val="000000"/>
        </w:rPr>
        <w:t>Zr</w:t>
      </w:r>
      <w:proofErr w:type="spellEnd"/>
      <w:r w:rsidRPr="00680168">
        <w:rPr>
          <w:color w:val="000000"/>
        </w:rPr>
        <w:t>, в отдельных случаях</w:t>
      </w:r>
      <w:r w:rsidR="00CC3151">
        <w:rPr>
          <w:color w:val="000000"/>
        </w:rPr>
        <w:t>,</w:t>
      </w:r>
      <w:r w:rsidRPr="00680168">
        <w:rPr>
          <w:color w:val="000000"/>
        </w:rPr>
        <w:t xml:space="preserve"> </w:t>
      </w:r>
      <w:proofErr w:type="spellStart"/>
      <w:r w:rsidRPr="00680168">
        <w:rPr>
          <w:color w:val="000000"/>
        </w:rPr>
        <w:t>Cd</w:t>
      </w:r>
      <w:proofErr w:type="spellEnd"/>
      <w:r w:rsidRPr="00680168">
        <w:rPr>
          <w:color w:val="000000"/>
        </w:rPr>
        <w:t xml:space="preserve"> и </w:t>
      </w:r>
      <w:proofErr w:type="spellStart"/>
      <w:r w:rsidRPr="00680168">
        <w:rPr>
          <w:color w:val="000000"/>
        </w:rPr>
        <w:t>Cr</w:t>
      </w:r>
      <w:proofErr w:type="spellEnd"/>
      <w:r>
        <w:rPr>
          <w:color w:val="000000"/>
        </w:rPr>
        <w:t>)</w:t>
      </w:r>
      <w:r w:rsidRPr="00680168">
        <w:rPr>
          <w:color w:val="000000"/>
        </w:rPr>
        <w:t xml:space="preserve">. Сфагнум при низком содержании зольного остатка и макроэлементов (особенно К, P, S) выступает в качестве умеренного концентратора широкого спектра элементов с относительно низкой </w:t>
      </w:r>
      <w:proofErr w:type="spellStart"/>
      <w:r w:rsidRPr="00680168">
        <w:rPr>
          <w:color w:val="000000"/>
        </w:rPr>
        <w:t>биофильностью</w:t>
      </w:r>
      <w:proofErr w:type="spellEnd"/>
      <w:r w:rsidRPr="00680168">
        <w:rPr>
          <w:color w:val="000000"/>
        </w:rPr>
        <w:t xml:space="preserve"> </w:t>
      </w:r>
      <w:r w:rsidRPr="00197BED">
        <w:rPr>
          <w:i/>
        </w:rPr>
        <w:t xml:space="preserve">– </w:t>
      </w:r>
      <w:proofErr w:type="spellStart"/>
      <w:r w:rsidRPr="00680168">
        <w:rPr>
          <w:color w:val="000000"/>
        </w:rPr>
        <w:t>Fe</w:t>
      </w:r>
      <w:proofErr w:type="spellEnd"/>
      <w:r w:rsidRPr="00680168">
        <w:rPr>
          <w:color w:val="000000"/>
        </w:rPr>
        <w:t xml:space="preserve">, </w:t>
      </w:r>
      <w:proofErr w:type="spellStart"/>
      <w:r w:rsidRPr="00680168">
        <w:rPr>
          <w:color w:val="000000"/>
        </w:rPr>
        <w:t>Ti</w:t>
      </w:r>
      <w:proofErr w:type="spellEnd"/>
      <w:r w:rsidRPr="00680168">
        <w:rPr>
          <w:color w:val="000000"/>
        </w:rPr>
        <w:t xml:space="preserve">, </w:t>
      </w:r>
      <w:proofErr w:type="spellStart"/>
      <w:r w:rsidRPr="00680168">
        <w:rPr>
          <w:color w:val="000000"/>
        </w:rPr>
        <w:t>Cr</w:t>
      </w:r>
      <w:proofErr w:type="spellEnd"/>
      <w:r w:rsidRPr="00680168">
        <w:rPr>
          <w:color w:val="000000"/>
        </w:rPr>
        <w:t xml:space="preserve">, </w:t>
      </w:r>
      <w:proofErr w:type="spellStart"/>
      <w:r w:rsidRPr="00680168">
        <w:rPr>
          <w:color w:val="000000"/>
        </w:rPr>
        <w:t>Co</w:t>
      </w:r>
      <w:proofErr w:type="spellEnd"/>
      <w:r w:rsidRPr="00680168">
        <w:rPr>
          <w:color w:val="000000"/>
        </w:rPr>
        <w:t xml:space="preserve">, </w:t>
      </w:r>
      <w:proofErr w:type="spellStart"/>
      <w:r w:rsidRPr="00680168">
        <w:rPr>
          <w:color w:val="000000"/>
        </w:rPr>
        <w:t>Zr</w:t>
      </w:r>
      <w:proofErr w:type="spellEnd"/>
      <w:r w:rsidRPr="00680168">
        <w:rPr>
          <w:color w:val="000000"/>
        </w:rPr>
        <w:t xml:space="preserve"> и </w:t>
      </w:r>
      <w:proofErr w:type="spellStart"/>
      <w:r w:rsidRPr="00680168">
        <w:rPr>
          <w:color w:val="000000"/>
        </w:rPr>
        <w:t>Pb</w:t>
      </w:r>
      <w:proofErr w:type="spellEnd"/>
      <w:r w:rsidRPr="00680168">
        <w:rPr>
          <w:color w:val="000000"/>
        </w:rPr>
        <w:t>.</w:t>
      </w:r>
    </w:p>
    <w:p w:rsidR="00B007E4" w:rsidRPr="00680168" w:rsidRDefault="00B007E4" w:rsidP="00B007E4">
      <w:pPr>
        <w:spacing w:before="0"/>
        <w:ind w:firstLine="284"/>
        <w:jc w:val="both"/>
        <w:rPr>
          <w:color w:val="000000"/>
        </w:rPr>
      </w:pPr>
      <w:r w:rsidRPr="00680168">
        <w:rPr>
          <w:color w:val="000000"/>
        </w:rPr>
        <w:t xml:space="preserve">В распределении элементов по надземным органам древесных растений прослеживаются разные стратегии накопления: в широколиственных породах наибольшая концентрация происходит в фотосинтезирующих органах растений, а в хвойной породе (ели обыкновенной) </w:t>
      </w:r>
      <w:r w:rsidRPr="00197BED">
        <w:rPr>
          <w:i/>
        </w:rPr>
        <w:t xml:space="preserve">– </w:t>
      </w:r>
      <w:r w:rsidRPr="00680168">
        <w:rPr>
          <w:color w:val="000000"/>
        </w:rPr>
        <w:t xml:space="preserve">в ветках и коре. </w:t>
      </w:r>
    </w:p>
    <w:p w:rsidR="00B007E4" w:rsidRPr="0039088B" w:rsidRDefault="00B007E4" w:rsidP="00B007E4">
      <w:pPr>
        <w:spacing w:before="0"/>
        <w:ind w:firstLine="284"/>
        <w:jc w:val="both"/>
        <w:rPr>
          <w:color w:val="000000"/>
        </w:rPr>
      </w:pPr>
      <w:r w:rsidRPr="00680168">
        <w:rPr>
          <w:color w:val="000000"/>
        </w:rPr>
        <w:t xml:space="preserve">В процессы </w:t>
      </w:r>
      <w:r>
        <w:rPr>
          <w:color w:val="000000"/>
        </w:rPr>
        <w:t>биологического накопления</w:t>
      </w:r>
      <w:r w:rsidRPr="00680168">
        <w:rPr>
          <w:color w:val="000000"/>
        </w:rPr>
        <w:t xml:space="preserve"> активно вовлекаются </w:t>
      </w:r>
      <w:proofErr w:type="spellStart"/>
      <w:r w:rsidRPr="00680168">
        <w:rPr>
          <w:color w:val="000000"/>
        </w:rPr>
        <w:t>Mn</w:t>
      </w:r>
      <w:proofErr w:type="spellEnd"/>
      <w:r w:rsidRPr="00680168">
        <w:rPr>
          <w:color w:val="000000"/>
        </w:rPr>
        <w:t xml:space="preserve">, </w:t>
      </w:r>
      <w:proofErr w:type="spellStart"/>
      <w:r w:rsidRPr="00680168">
        <w:rPr>
          <w:color w:val="000000"/>
        </w:rPr>
        <w:t>Zn</w:t>
      </w:r>
      <w:proofErr w:type="spellEnd"/>
      <w:r>
        <w:rPr>
          <w:color w:val="000000"/>
        </w:rPr>
        <w:t xml:space="preserve"> </w:t>
      </w:r>
      <w:r w:rsidRPr="00680168">
        <w:rPr>
          <w:color w:val="000000"/>
        </w:rPr>
        <w:t xml:space="preserve">и </w:t>
      </w:r>
      <w:proofErr w:type="spellStart"/>
      <w:r w:rsidRPr="00680168">
        <w:rPr>
          <w:color w:val="000000"/>
        </w:rPr>
        <w:t>Cd</w:t>
      </w:r>
      <w:proofErr w:type="spellEnd"/>
      <w:r w:rsidRPr="00680168">
        <w:rPr>
          <w:color w:val="000000"/>
        </w:rPr>
        <w:t>. Биогеохимическая активность</w:t>
      </w:r>
      <w:r w:rsidRPr="0039088B">
        <w:rPr>
          <w:color w:val="000000"/>
        </w:rPr>
        <w:t xml:space="preserve"> поглощения микроэлементов из почв определяется филогенетической специализацией растений. Растения древесного яруса – ель обыкновенная и клен остролистный, –</w:t>
      </w:r>
      <w:r>
        <w:rPr>
          <w:color w:val="000000"/>
        </w:rPr>
        <w:t xml:space="preserve"> </w:t>
      </w:r>
      <w:r w:rsidRPr="0039088B">
        <w:rPr>
          <w:color w:val="000000"/>
        </w:rPr>
        <w:t>а также сфагн</w:t>
      </w:r>
      <w:r>
        <w:rPr>
          <w:color w:val="000000"/>
        </w:rPr>
        <w:t>ум</w:t>
      </w:r>
      <w:r w:rsidRPr="0039088B">
        <w:rPr>
          <w:color w:val="000000"/>
        </w:rPr>
        <w:t xml:space="preserve">, характеризуются максимальной биогеохимической активностью. Среди растений травяно-кустарничкового яруса максимальную </w:t>
      </w:r>
      <w:r>
        <w:rPr>
          <w:color w:val="000000"/>
        </w:rPr>
        <w:t xml:space="preserve">биохимическую </w:t>
      </w:r>
      <w:r w:rsidRPr="0039088B">
        <w:rPr>
          <w:color w:val="000000"/>
        </w:rPr>
        <w:t xml:space="preserve">активность </w:t>
      </w:r>
      <w:r>
        <w:rPr>
          <w:color w:val="000000"/>
        </w:rPr>
        <w:t xml:space="preserve">имеют </w:t>
      </w:r>
      <w:r w:rsidRPr="0039088B">
        <w:rPr>
          <w:color w:val="000000"/>
        </w:rPr>
        <w:t>звездчатка ланцетолистная (БХА=76</w:t>
      </w:r>
      <w:r w:rsidRPr="00197BED">
        <w:rPr>
          <w:i/>
        </w:rPr>
        <w:t>–</w:t>
      </w:r>
      <w:r w:rsidRPr="0039088B">
        <w:rPr>
          <w:color w:val="000000"/>
        </w:rPr>
        <w:t xml:space="preserve">80) и листья черники обыкновенной </w:t>
      </w:r>
      <w:r w:rsidRPr="0039088B">
        <w:rPr>
          <w:color w:val="000000"/>
        </w:rPr>
        <w:lastRenderedPageBreak/>
        <w:t>(БХА=53</w:t>
      </w:r>
      <w:r w:rsidRPr="00197BED">
        <w:rPr>
          <w:i/>
        </w:rPr>
        <w:t>–</w:t>
      </w:r>
      <w:r w:rsidRPr="0039088B">
        <w:rPr>
          <w:color w:val="000000"/>
        </w:rPr>
        <w:t>98). Вяз шершавый (БХА=6), хвощ лесной (БХА=7) и кислица обыкновенная (БХА=13</w:t>
      </w:r>
      <w:r w:rsidRPr="00197BED">
        <w:rPr>
          <w:i/>
        </w:rPr>
        <w:t>–</w:t>
      </w:r>
      <w:r w:rsidRPr="0039088B">
        <w:rPr>
          <w:color w:val="000000"/>
        </w:rPr>
        <w:t>33) по величинам коэффициента БХА слабо участвуют в биогеохимических циклах микроэлементов.</w:t>
      </w:r>
      <w:r>
        <w:rPr>
          <w:color w:val="000000"/>
        </w:rPr>
        <w:t xml:space="preserve"> </w:t>
      </w:r>
      <w:r w:rsidRPr="0039088B">
        <w:rPr>
          <w:color w:val="000000"/>
        </w:rPr>
        <w:t xml:space="preserve">Активность поглощения микроэлементов у растений одного вида меняется в зависимости от условий </w:t>
      </w:r>
      <w:r w:rsidR="00CC3151">
        <w:rPr>
          <w:color w:val="000000"/>
        </w:rPr>
        <w:t>и положения</w:t>
      </w:r>
      <w:r w:rsidRPr="0039088B">
        <w:rPr>
          <w:color w:val="000000"/>
        </w:rPr>
        <w:t xml:space="preserve"> в </w:t>
      </w:r>
      <w:proofErr w:type="spellStart"/>
      <w:r w:rsidRPr="0039088B">
        <w:rPr>
          <w:color w:val="000000"/>
        </w:rPr>
        <w:t>катене</w:t>
      </w:r>
      <w:proofErr w:type="spellEnd"/>
      <w:r>
        <w:rPr>
          <w:color w:val="000000"/>
        </w:rPr>
        <w:t>: е</w:t>
      </w:r>
      <w:r w:rsidRPr="0039088B">
        <w:rPr>
          <w:color w:val="000000"/>
        </w:rPr>
        <w:t xml:space="preserve">ль обыкновенная активнее участвует в биологическом поглощении элементов в автономном ландшафте (БХА=108), а клен остролистный – в </w:t>
      </w:r>
      <w:proofErr w:type="spellStart"/>
      <w:r w:rsidRPr="0039088B">
        <w:rPr>
          <w:color w:val="000000"/>
        </w:rPr>
        <w:t>трансэлювиальном</w:t>
      </w:r>
      <w:proofErr w:type="spellEnd"/>
      <w:r w:rsidRPr="0039088B">
        <w:rPr>
          <w:color w:val="000000"/>
        </w:rPr>
        <w:t xml:space="preserve"> (БХА=156). Липа сердцевидная отличается наиболее стабильным поглощением микроэлементов из почв и слабыми пространственными вариациями микроэлементного состава зеленых органов (БХА=19</w:t>
      </w:r>
      <w:r w:rsidRPr="00197BED">
        <w:rPr>
          <w:i/>
        </w:rPr>
        <w:t>–</w:t>
      </w:r>
      <w:r w:rsidRPr="0039088B">
        <w:rPr>
          <w:color w:val="000000"/>
        </w:rPr>
        <w:t>39).</w:t>
      </w:r>
    </w:p>
    <w:p w:rsidR="00B007E4" w:rsidRDefault="00B007E4" w:rsidP="00B007E4">
      <w:pPr>
        <w:spacing w:before="0"/>
        <w:ind w:firstLine="284"/>
        <w:jc w:val="both"/>
        <w:rPr>
          <w:i/>
          <w:color w:val="000000"/>
        </w:rPr>
      </w:pPr>
      <w:r w:rsidRPr="0039088B">
        <w:rPr>
          <w:b/>
          <w:i/>
          <w:color w:val="000000"/>
        </w:rPr>
        <w:t>Благодарности.</w:t>
      </w:r>
      <w:r w:rsidRPr="0039088B">
        <w:rPr>
          <w:i/>
          <w:color w:val="000000"/>
        </w:rPr>
        <w:t xml:space="preserve"> Исследование выполнено при поддержке гранта РГО-РФФИ № 17-05-41036</w:t>
      </w:r>
      <w:r>
        <w:rPr>
          <w:i/>
          <w:color w:val="000000"/>
        </w:rPr>
        <w:t xml:space="preserve"> (договор № </w:t>
      </w:r>
      <w:r w:rsidRPr="00325E46">
        <w:rPr>
          <w:i/>
          <w:color w:val="000000"/>
        </w:rPr>
        <w:t>04</w:t>
      </w:r>
      <w:r>
        <w:rPr>
          <w:i/>
          <w:color w:val="000000"/>
        </w:rPr>
        <w:t>/</w:t>
      </w:r>
      <w:r w:rsidRPr="00325E46">
        <w:rPr>
          <w:i/>
          <w:color w:val="000000"/>
        </w:rPr>
        <w:t>2017</w:t>
      </w:r>
      <w:r>
        <w:rPr>
          <w:i/>
          <w:color w:val="000000"/>
        </w:rPr>
        <w:t>/</w:t>
      </w:r>
      <w:r w:rsidRPr="00325E46">
        <w:rPr>
          <w:i/>
          <w:color w:val="000000"/>
        </w:rPr>
        <w:t>РГО-РФФИ</w:t>
      </w:r>
      <w:r>
        <w:rPr>
          <w:i/>
          <w:color w:val="000000"/>
        </w:rPr>
        <w:t>)</w:t>
      </w:r>
      <w:r w:rsidRPr="0039088B">
        <w:rPr>
          <w:i/>
          <w:color w:val="000000"/>
        </w:rPr>
        <w:t>.</w:t>
      </w:r>
    </w:p>
    <w:p w:rsidR="001902CB" w:rsidRDefault="001902CB" w:rsidP="00EA4736">
      <w:pPr>
        <w:spacing w:before="0"/>
        <w:ind w:firstLine="284"/>
        <w:jc w:val="both"/>
        <w:rPr>
          <w:i/>
          <w:color w:val="000000"/>
        </w:rPr>
      </w:pPr>
    </w:p>
    <w:p w:rsidR="004B02EE" w:rsidRPr="00EC78CB" w:rsidRDefault="00EC78CB" w:rsidP="00EA4736">
      <w:pPr>
        <w:spacing w:before="0"/>
        <w:ind w:firstLine="284"/>
        <w:jc w:val="center"/>
        <w:rPr>
          <w:b/>
          <w:color w:val="000000"/>
        </w:rPr>
      </w:pPr>
      <w:r w:rsidRPr="00EC78CB">
        <w:rPr>
          <w:b/>
          <w:color w:val="000000"/>
        </w:rPr>
        <w:t>Литература</w:t>
      </w:r>
    </w:p>
    <w:p w:rsidR="00B007E4" w:rsidRPr="009A017A" w:rsidRDefault="00B007E4" w:rsidP="00B007E4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before="0"/>
        <w:ind w:left="0" w:firstLine="284"/>
        <w:jc w:val="both"/>
        <w:rPr>
          <w:color w:val="000000"/>
          <w:shd w:val="clear" w:color="auto" w:fill="FFFFFF"/>
        </w:rPr>
      </w:pPr>
      <w:proofErr w:type="spellStart"/>
      <w:r w:rsidRPr="009A017A">
        <w:rPr>
          <w:color w:val="000000"/>
          <w:shd w:val="clear" w:color="auto" w:fill="FFFFFF"/>
        </w:rPr>
        <w:t>Исаченкова</w:t>
      </w:r>
      <w:proofErr w:type="spellEnd"/>
      <w:r w:rsidRPr="009A017A">
        <w:rPr>
          <w:color w:val="000000"/>
          <w:shd w:val="clear" w:color="auto" w:fill="FFFFFF"/>
        </w:rPr>
        <w:t xml:space="preserve"> Л.Б., </w:t>
      </w:r>
      <w:proofErr w:type="spellStart"/>
      <w:r w:rsidRPr="009A017A">
        <w:rPr>
          <w:color w:val="000000"/>
          <w:shd w:val="clear" w:color="auto" w:fill="FFFFFF"/>
        </w:rPr>
        <w:t>Тарзаева</w:t>
      </w:r>
      <w:proofErr w:type="spellEnd"/>
      <w:r w:rsidRPr="009A017A">
        <w:rPr>
          <w:color w:val="000000"/>
          <w:shd w:val="clear" w:color="auto" w:fill="FFFFFF"/>
        </w:rPr>
        <w:t xml:space="preserve"> М.В. Сравнительная биогеохимическая характеристика лесных экосистем // Экосистемы широколиственно-хвойных лесов южного Подмосковья.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М.: Географический факультете МГУ.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2006.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С. 84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>97.</w:t>
      </w:r>
    </w:p>
    <w:p w:rsidR="00B007E4" w:rsidRPr="009A017A" w:rsidRDefault="00B007E4" w:rsidP="00B007E4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before="0"/>
        <w:ind w:left="0" w:firstLine="284"/>
        <w:jc w:val="both"/>
        <w:rPr>
          <w:color w:val="000000"/>
          <w:shd w:val="clear" w:color="auto" w:fill="FFFFFF"/>
        </w:rPr>
      </w:pPr>
      <w:r w:rsidRPr="009A017A">
        <w:rPr>
          <w:color w:val="000000"/>
          <w:shd w:val="clear" w:color="auto" w:fill="FFFFFF"/>
        </w:rPr>
        <w:t xml:space="preserve">Железнова О.С., Черных Н.А., </w:t>
      </w:r>
      <w:proofErr w:type="spellStart"/>
      <w:r w:rsidRPr="009A017A">
        <w:rPr>
          <w:color w:val="000000"/>
          <w:shd w:val="clear" w:color="auto" w:fill="FFFFFF"/>
        </w:rPr>
        <w:t>Тобратов</w:t>
      </w:r>
      <w:proofErr w:type="spellEnd"/>
      <w:r w:rsidRPr="009A017A">
        <w:rPr>
          <w:color w:val="000000"/>
          <w:shd w:val="clear" w:color="auto" w:fill="FFFFFF"/>
        </w:rPr>
        <w:t xml:space="preserve"> С.А. Цинк и кадмий в </w:t>
      </w:r>
      <w:proofErr w:type="spellStart"/>
      <w:r w:rsidRPr="009A017A">
        <w:rPr>
          <w:color w:val="000000"/>
          <w:shd w:val="clear" w:color="auto" w:fill="FFFFFF"/>
        </w:rPr>
        <w:t>фитомассе</w:t>
      </w:r>
      <w:proofErr w:type="spellEnd"/>
      <w:r w:rsidRPr="009A017A">
        <w:rPr>
          <w:color w:val="000000"/>
          <w:shd w:val="clear" w:color="auto" w:fill="FFFFFF"/>
        </w:rPr>
        <w:t xml:space="preserve"> древесных растений лесных экосистем: закономерности </w:t>
      </w:r>
      <w:proofErr w:type="spellStart"/>
      <w:r w:rsidRPr="009A017A">
        <w:rPr>
          <w:color w:val="000000"/>
          <w:shd w:val="clear" w:color="auto" w:fill="FFFFFF"/>
        </w:rPr>
        <w:t>транслокации</w:t>
      </w:r>
      <w:proofErr w:type="spellEnd"/>
      <w:r w:rsidRPr="009A017A">
        <w:rPr>
          <w:color w:val="000000"/>
          <w:shd w:val="clear" w:color="auto" w:fill="FFFFFF"/>
        </w:rPr>
        <w:t xml:space="preserve">, аккумуляции и барьерных механизмов // Вестник РУДН. Серия: Экология и безопасность жизнедеятельности.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2017.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Т. 25. № 2.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С. 253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>270.</w:t>
      </w:r>
    </w:p>
    <w:p w:rsidR="00B007E4" w:rsidRPr="005B09EA" w:rsidRDefault="00B007E4" w:rsidP="00B007E4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before="0"/>
        <w:ind w:left="0" w:firstLine="284"/>
        <w:jc w:val="both"/>
        <w:rPr>
          <w:shd w:val="clear" w:color="auto" w:fill="FFFFFF"/>
          <w:lang w:val="en-US"/>
        </w:rPr>
      </w:pPr>
      <w:proofErr w:type="spellStart"/>
      <w:r w:rsidRPr="009A017A">
        <w:rPr>
          <w:color w:val="000000"/>
          <w:shd w:val="clear" w:color="auto" w:fill="FFFFFF"/>
        </w:rPr>
        <w:t>Караванова</w:t>
      </w:r>
      <w:proofErr w:type="spellEnd"/>
      <w:r w:rsidRPr="009A017A">
        <w:rPr>
          <w:color w:val="000000"/>
          <w:shd w:val="clear" w:color="auto" w:fill="FFFFFF"/>
        </w:rPr>
        <w:t xml:space="preserve"> Е.И., Белянина Л.А., Шапиро А.Д., Степанов А.А. Влияние подстилок на подвижность соединений </w:t>
      </w:r>
      <w:r w:rsidRPr="009A017A">
        <w:rPr>
          <w:color w:val="000000"/>
          <w:shd w:val="clear" w:color="auto" w:fill="FFFFFF"/>
          <w:lang w:val="en-US"/>
        </w:rPr>
        <w:t>Zn</w:t>
      </w:r>
      <w:r w:rsidRPr="009A017A">
        <w:rPr>
          <w:color w:val="000000"/>
          <w:shd w:val="clear" w:color="auto" w:fill="FFFFFF"/>
        </w:rPr>
        <w:t xml:space="preserve">, </w:t>
      </w:r>
      <w:r w:rsidRPr="009A017A">
        <w:rPr>
          <w:color w:val="000000"/>
          <w:shd w:val="clear" w:color="auto" w:fill="FFFFFF"/>
          <w:lang w:val="en-US"/>
        </w:rPr>
        <w:t>Cu</w:t>
      </w:r>
      <w:r w:rsidRPr="009A017A">
        <w:rPr>
          <w:color w:val="000000"/>
          <w:shd w:val="clear" w:color="auto" w:fill="FFFFFF"/>
        </w:rPr>
        <w:t xml:space="preserve">, </w:t>
      </w:r>
      <w:r w:rsidRPr="009A017A">
        <w:rPr>
          <w:color w:val="000000"/>
          <w:shd w:val="clear" w:color="auto" w:fill="FFFFFF"/>
          <w:lang w:val="en-US"/>
        </w:rPr>
        <w:t>Mn</w:t>
      </w:r>
      <w:r w:rsidRPr="009A017A">
        <w:rPr>
          <w:color w:val="000000"/>
          <w:shd w:val="clear" w:color="auto" w:fill="FFFFFF"/>
        </w:rPr>
        <w:t xml:space="preserve">, </w:t>
      </w:r>
      <w:r w:rsidRPr="009A017A">
        <w:rPr>
          <w:color w:val="000000"/>
          <w:shd w:val="clear" w:color="auto" w:fill="FFFFFF"/>
          <w:lang w:val="en-US"/>
        </w:rPr>
        <w:t>Fe</w:t>
      </w:r>
      <w:r w:rsidRPr="009A017A">
        <w:rPr>
          <w:color w:val="000000"/>
          <w:shd w:val="clear" w:color="auto" w:fill="FFFFFF"/>
        </w:rPr>
        <w:t xml:space="preserve"> в верхних горизонтах подзолистых почв // </w:t>
      </w:r>
      <w:r w:rsidRPr="005B09EA">
        <w:rPr>
          <w:color w:val="000000"/>
          <w:shd w:val="clear" w:color="auto" w:fill="FFFFFF"/>
        </w:rPr>
        <w:t xml:space="preserve">Почвоведение. </w:t>
      </w:r>
      <w:r w:rsidRPr="005B09EA">
        <w:rPr>
          <w:color w:val="000000"/>
          <w:shd w:val="clear" w:color="auto" w:fill="FFFFFF"/>
        </w:rPr>
        <w:sym w:font="Symbol" w:char="F02D"/>
      </w:r>
      <w:r w:rsidRPr="005B09EA">
        <w:rPr>
          <w:color w:val="000000"/>
          <w:shd w:val="clear" w:color="auto" w:fill="FFFFFF"/>
        </w:rPr>
        <w:t xml:space="preserve"> </w:t>
      </w:r>
      <w:r w:rsidRPr="005B09EA">
        <w:rPr>
          <w:color w:val="000000"/>
          <w:shd w:val="clear" w:color="auto" w:fill="FFFFFF"/>
          <w:lang w:val="en-US"/>
        </w:rPr>
        <w:t xml:space="preserve">2006. </w:t>
      </w:r>
      <w:r w:rsidRPr="005B09EA">
        <w:rPr>
          <w:color w:val="000000"/>
          <w:shd w:val="clear" w:color="auto" w:fill="FFFFFF"/>
        </w:rPr>
        <w:sym w:font="Symbol" w:char="F02D"/>
      </w:r>
      <w:r w:rsidRPr="005B09EA">
        <w:rPr>
          <w:color w:val="000000"/>
          <w:shd w:val="clear" w:color="auto" w:fill="FFFFFF"/>
          <w:lang w:val="en-US"/>
        </w:rPr>
        <w:t xml:space="preserve"> №1. </w:t>
      </w:r>
      <w:r w:rsidRPr="005B09EA">
        <w:rPr>
          <w:color w:val="000000"/>
          <w:shd w:val="clear" w:color="auto" w:fill="FFFFFF"/>
        </w:rPr>
        <w:sym w:font="Symbol" w:char="F02D"/>
      </w:r>
      <w:r w:rsidRPr="005B09EA">
        <w:rPr>
          <w:color w:val="000000"/>
          <w:shd w:val="clear" w:color="auto" w:fill="FFFFFF"/>
          <w:lang w:val="en-US"/>
        </w:rPr>
        <w:t xml:space="preserve"> </w:t>
      </w:r>
      <w:r w:rsidRPr="005B09EA">
        <w:rPr>
          <w:color w:val="000000"/>
          <w:shd w:val="clear" w:color="auto" w:fill="FFFFFF"/>
        </w:rPr>
        <w:t>С</w:t>
      </w:r>
      <w:r w:rsidRPr="005B09EA">
        <w:rPr>
          <w:color w:val="000000"/>
          <w:shd w:val="clear" w:color="auto" w:fill="FFFFFF"/>
          <w:lang w:val="en-US"/>
        </w:rPr>
        <w:t>. 43</w:t>
      </w:r>
      <w:r w:rsidRPr="009A017A">
        <w:rPr>
          <w:color w:val="000000"/>
          <w:shd w:val="clear" w:color="auto" w:fill="FFFFFF"/>
        </w:rPr>
        <w:sym w:font="Symbol" w:char="F02D"/>
      </w:r>
      <w:r w:rsidRPr="005B09EA">
        <w:rPr>
          <w:color w:val="000000"/>
          <w:shd w:val="clear" w:color="auto" w:fill="FFFFFF"/>
          <w:lang w:val="en-US"/>
        </w:rPr>
        <w:t>51.</w:t>
      </w:r>
    </w:p>
    <w:p w:rsidR="005B09EA" w:rsidRPr="005B09EA" w:rsidRDefault="005B09EA" w:rsidP="005B09EA">
      <w:pPr>
        <w:pStyle w:val="a7"/>
        <w:numPr>
          <w:ilvl w:val="0"/>
          <w:numId w:val="2"/>
        </w:numPr>
        <w:spacing w:before="0" w:after="160"/>
        <w:ind w:left="0" w:firstLine="284"/>
        <w:jc w:val="both"/>
        <w:rPr>
          <w:shd w:val="clear" w:color="auto" w:fill="FFFFFF"/>
        </w:rPr>
      </w:pPr>
      <w:r w:rsidRPr="005B09EA">
        <w:rPr>
          <w:shd w:val="clear" w:color="auto" w:fill="FFFFFF"/>
        </w:rPr>
        <w:t xml:space="preserve">Смирнова О.В., </w:t>
      </w:r>
      <w:proofErr w:type="spellStart"/>
      <w:r w:rsidRPr="005B09EA">
        <w:rPr>
          <w:shd w:val="clear" w:color="auto" w:fill="FFFFFF"/>
        </w:rPr>
        <w:t>Заугольнова</w:t>
      </w:r>
      <w:proofErr w:type="spellEnd"/>
      <w:r w:rsidRPr="005B09EA">
        <w:rPr>
          <w:shd w:val="clear" w:color="auto" w:fill="FFFFFF"/>
        </w:rPr>
        <w:t xml:space="preserve"> Л.Б., Евстигнеев О.И., Коротков В.Н., Ханина Л.Г., и др. Сукцессионные процессы в заповедниках России и проблемы сохранения биологического разнообразия. СПб: Российское ботаническое общество. – 1999. – 549 с. </w:t>
      </w:r>
    </w:p>
    <w:p w:rsidR="001902CB" w:rsidRPr="009A017A" w:rsidRDefault="001902CB" w:rsidP="00EA4736">
      <w:pPr>
        <w:pStyle w:val="a7"/>
        <w:numPr>
          <w:ilvl w:val="0"/>
          <w:numId w:val="2"/>
        </w:numPr>
        <w:tabs>
          <w:tab w:val="left" w:pos="709"/>
          <w:tab w:val="left" w:pos="1134"/>
        </w:tabs>
        <w:spacing w:before="0"/>
        <w:ind w:left="0" w:firstLine="284"/>
        <w:jc w:val="both"/>
        <w:rPr>
          <w:color w:val="000000"/>
          <w:shd w:val="clear" w:color="auto" w:fill="FFFFFF"/>
        </w:rPr>
      </w:pPr>
      <w:r w:rsidRPr="009A017A">
        <w:rPr>
          <w:color w:val="000000"/>
          <w:shd w:val="clear" w:color="auto" w:fill="FFFFFF"/>
        </w:rPr>
        <w:t xml:space="preserve">Айвазян А.Д. Геохимические особенности флоры ландшафтов юго-западного Алтая.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М.: Изд-во МГУ, 1974. </w:t>
      </w:r>
      <w:r w:rsidRPr="009A017A">
        <w:rPr>
          <w:color w:val="000000"/>
          <w:shd w:val="clear" w:color="auto" w:fill="FFFFFF"/>
        </w:rPr>
        <w:sym w:font="Symbol" w:char="F02D"/>
      </w:r>
      <w:r w:rsidRPr="009A017A">
        <w:rPr>
          <w:color w:val="000000"/>
          <w:shd w:val="clear" w:color="auto" w:fill="FFFFFF"/>
        </w:rPr>
        <w:t xml:space="preserve"> 155 с.</w:t>
      </w:r>
    </w:p>
    <w:p w:rsidR="001902CB" w:rsidRPr="009A017A" w:rsidRDefault="001902CB" w:rsidP="00B007E4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before="0"/>
        <w:ind w:left="0" w:firstLine="284"/>
        <w:jc w:val="both"/>
        <w:rPr>
          <w:color w:val="000000"/>
          <w:shd w:val="clear" w:color="auto" w:fill="FFFFFF"/>
        </w:rPr>
      </w:pPr>
      <w:r w:rsidRPr="009A017A">
        <w:rPr>
          <w:color w:val="000000"/>
          <w:shd w:val="clear" w:color="auto" w:fill="FFFFFF"/>
        </w:rPr>
        <w:t>Ковалевский А. Л. Основные закономерности формирования химического состава растений // Биогеохимия растений: тр. Бурят. ин-та ест. наук. – Улан-Удэ</w:t>
      </w:r>
      <w:r w:rsidR="00B007E4">
        <w:rPr>
          <w:color w:val="000000"/>
          <w:shd w:val="clear" w:color="auto" w:fill="FFFFFF"/>
        </w:rPr>
        <w:t>:</w:t>
      </w:r>
      <w:r w:rsidR="00B007E4" w:rsidRPr="00B007E4">
        <w:t xml:space="preserve"> </w:t>
      </w:r>
      <w:r w:rsidR="00B007E4">
        <w:rPr>
          <w:color w:val="000000"/>
          <w:shd w:val="clear" w:color="auto" w:fill="FFFFFF"/>
        </w:rPr>
        <w:t>Бурятское книжное издательство</w:t>
      </w:r>
      <w:r w:rsidRPr="009A017A">
        <w:rPr>
          <w:color w:val="000000"/>
          <w:shd w:val="clear" w:color="auto" w:fill="FFFFFF"/>
        </w:rPr>
        <w:t xml:space="preserve">, </w:t>
      </w:r>
      <w:r w:rsidR="00B007E4">
        <w:rPr>
          <w:color w:val="000000"/>
          <w:shd w:val="clear" w:color="auto" w:fill="FFFFFF"/>
        </w:rPr>
        <w:t xml:space="preserve">- </w:t>
      </w:r>
      <w:r w:rsidRPr="009A017A">
        <w:rPr>
          <w:color w:val="000000"/>
          <w:shd w:val="clear" w:color="auto" w:fill="FFFFFF"/>
        </w:rPr>
        <w:t>1969. – с. 6-28.</w:t>
      </w:r>
    </w:p>
    <w:p w:rsidR="001902CB" w:rsidRPr="00B007E4" w:rsidRDefault="00EC78CB" w:rsidP="00B007E4">
      <w:pPr>
        <w:pStyle w:val="a7"/>
        <w:numPr>
          <w:ilvl w:val="0"/>
          <w:numId w:val="2"/>
        </w:numPr>
        <w:tabs>
          <w:tab w:val="left" w:pos="709"/>
          <w:tab w:val="left" w:pos="1134"/>
        </w:tabs>
        <w:spacing w:before="0"/>
        <w:ind w:left="0" w:firstLine="284"/>
        <w:jc w:val="both"/>
        <w:rPr>
          <w:color w:val="000000"/>
          <w:shd w:val="clear" w:color="auto" w:fill="FFFFFF"/>
          <w:lang w:val="en-US"/>
        </w:rPr>
      </w:pPr>
      <w:r w:rsidRPr="009A017A">
        <w:rPr>
          <w:bCs/>
          <w:iCs/>
          <w:lang w:val="en-US"/>
        </w:rPr>
        <w:t xml:space="preserve">Kabata-Pendias A. </w:t>
      </w:r>
      <w:r w:rsidRPr="009A017A">
        <w:rPr>
          <w:bCs/>
          <w:lang w:val="en-US"/>
        </w:rPr>
        <w:t xml:space="preserve">Trace Elements in Soils and Plants, Fourth Edition. </w:t>
      </w:r>
      <w:r w:rsidRPr="009A017A">
        <w:rPr>
          <w:color w:val="000000"/>
          <w:shd w:val="clear" w:color="auto" w:fill="FFFFFF"/>
        </w:rPr>
        <w:sym w:font="Symbol" w:char="F02D"/>
      </w:r>
      <w:r w:rsidR="00195B7B" w:rsidRPr="009A017A">
        <w:rPr>
          <w:bCs/>
          <w:lang w:val="en-US"/>
        </w:rPr>
        <w:t xml:space="preserve"> CRC</w:t>
      </w:r>
      <w:r w:rsidR="00195B7B" w:rsidRPr="00B007E4">
        <w:rPr>
          <w:bCs/>
          <w:lang w:val="en-US"/>
        </w:rPr>
        <w:t xml:space="preserve"> </w:t>
      </w:r>
      <w:r w:rsidR="00195B7B" w:rsidRPr="009A017A">
        <w:rPr>
          <w:bCs/>
          <w:lang w:val="en-US"/>
        </w:rPr>
        <w:t>Press</w:t>
      </w:r>
      <w:r w:rsidR="00195B7B" w:rsidRPr="00B007E4">
        <w:rPr>
          <w:bCs/>
          <w:lang w:val="en-US"/>
        </w:rPr>
        <w:t>. –</w:t>
      </w:r>
      <w:r w:rsidRPr="00B007E4">
        <w:rPr>
          <w:bCs/>
          <w:lang w:val="en-US"/>
        </w:rPr>
        <w:t xml:space="preserve"> 2011. </w:t>
      </w:r>
      <w:r w:rsidRPr="009A017A">
        <w:rPr>
          <w:color w:val="000000"/>
          <w:shd w:val="clear" w:color="auto" w:fill="FFFFFF"/>
        </w:rPr>
        <w:sym w:font="Symbol" w:char="F02D"/>
      </w:r>
      <w:r w:rsidRPr="00B007E4">
        <w:rPr>
          <w:bCs/>
          <w:lang w:val="en-US"/>
        </w:rPr>
        <w:t xml:space="preserve"> </w:t>
      </w:r>
      <w:proofErr w:type="gramStart"/>
      <w:r w:rsidRPr="00B007E4">
        <w:rPr>
          <w:bCs/>
          <w:lang w:val="en-US"/>
        </w:rPr>
        <w:t>548</w:t>
      </w:r>
      <w:proofErr w:type="gramEnd"/>
      <w:r w:rsidRPr="00B007E4">
        <w:rPr>
          <w:bCs/>
          <w:lang w:val="en-US"/>
        </w:rPr>
        <w:t xml:space="preserve"> </w:t>
      </w:r>
      <w:r w:rsidRPr="009A017A">
        <w:rPr>
          <w:bCs/>
          <w:lang w:val="en-US"/>
        </w:rPr>
        <w:t>p</w:t>
      </w:r>
      <w:r w:rsidRPr="00B007E4">
        <w:rPr>
          <w:bCs/>
          <w:lang w:val="en-US"/>
        </w:rPr>
        <w:t>.</w:t>
      </w:r>
      <w:r w:rsidR="001902CB" w:rsidRPr="00B007E4">
        <w:rPr>
          <w:color w:val="000000"/>
          <w:shd w:val="clear" w:color="auto" w:fill="FFFFFF"/>
          <w:lang w:val="en-US"/>
        </w:rPr>
        <w:t xml:space="preserve"> </w:t>
      </w:r>
    </w:p>
    <w:p w:rsidR="006F61F3" w:rsidRPr="009A017A" w:rsidRDefault="006F61F3" w:rsidP="00EA4736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before="0"/>
        <w:ind w:left="0" w:firstLine="284"/>
        <w:jc w:val="both"/>
        <w:rPr>
          <w:color w:val="000000"/>
          <w:shd w:val="clear" w:color="auto" w:fill="FFFFFF"/>
          <w:lang w:val="en-US"/>
        </w:rPr>
      </w:pPr>
      <w:proofErr w:type="spellStart"/>
      <w:r w:rsidRPr="009A017A">
        <w:rPr>
          <w:color w:val="000000"/>
          <w:shd w:val="clear" w:color="auto" w:fill="FFFFFF"/>
          <w:lang w:val="en-US"/>
        </w:rPr>
        <w:t>Gandois</w:t>
      </w:r>
      <w:proofErr w:type="spellEnd"/>
      <w:r w:rsidRPr="009A017A">
        <w:rPr>
          <w:color w:val="000000"/>
          <w:shd w:val="clear" w:color="auto" w:fill="FFFFFF"/>
          <w:lang w:val="en-US"/>
        </w:rPr>
        <w:t xml:space="preserve"> L., Probst A. </w:t>
      </w:r>
      <w:proofErr w:type="spellStart"/>
      <w:r w:rsidRPr="009A017A">
        <w:rPr>
          <w:color w:val="000000"/>
          <w:shd w:val="clear" w:color="auto" w:fill="FFFFFF"/>
          <w:lang w:val="en-US"/>
        </w:rPr>
        <w:t>Localisation</w:t>
      </w:r>
      <w:proofErr w:type="spellEnd"/>
      <w:r w:rsidRPr="009A017A">
        <w:rPr>
          <w:color w:val="000000"/>
          <w:shd w:val="clear" w:color="auto" w:fill="FFFFFF"/>
          <w:lang w:val="en-US"/>
        </w:rPr>
        <w:t xml:space="preserve"> and mobility of trace metal in si</w:t>
      </w:r>
      <w:r w:rsidR="00B007E4">
        <w:rPr>
          <w:color w:val="000000"/>
          <w:shd w:val="clear" w:color="auto" w:fill="FFFFFF"/>
          <w:lang w:val="en-US"/>
        </w:rPr>
        <w:t>lver fir needles // Chemosphere</w:t>
      </w:r>
      <w:r w:rsidR="00B007E4" w:rsidRPr="00B007E4">
        <w:rPr>
          <w:color w:val="000000"/>
          <w:shd w:val="clear" w:color="auto" w:fill="FFFFFF"/>
          <w:lang w:val="en-US"/>
        </w:rPr>
        <w:t>.</w:t>
      </w:r>
      <w:r w:rsidRPr="009A017A">
        <w:rPr>
          <w:color w:val="000000"/>
          <w:shd w:val="clear" w:color="auto" w:fill="FFFFFF"/>
          <w:lang w:val="en-US"/>
        </w:rPr>
        <w:t xml:space="preserve"> 2012. - Vol. 87. - P.204-210.</w:t>
      </w:r>
    </w:p>
    <w:p w:rsidR="00515504" w:rsidRDefault="00515504" w:rsidP="00010F97">
      <w:pPr>
        <w:spacing w:before="0"/>
        <w:ind w:firstLine="284"/>
        <w:jc w:val="center"/>
        <w:rPr>
          <w:b/>
          <w:color w:val="000000"/>
          <w:lang w:val="en-US"/>
        </w:rPr>
      </w:pPr>
    </w:p>
    <w:p w:rsidR="00B007E4" w:rsidRPr="004B02EE" w:rsidRDefault="00B007E4" w:rsidP="00B007E4">
      <w:pPr>
        <w:spacing w:before="0"/>
        <w:ind w:firstLine="284"/>
        <w:jc w:val="center"/>
        <w:rPr>
          <w:b/>
          <w:color w:val="000000"/>
          <w:lang w:val="en-US"/>
        </w:rPr>
      </w:pPr>
      <w:r>
        <w:rPr>
          <w:lang w:val="en"/>
        </w:rPr>
        <w:t>BIOGEOCHEMICAL DIFFERENTIATION OF THE PHYTOMASS IN SOUTHERN TAIGA LANDSCAPES OF THE CENTRAL-FOREST NATURE RESERVE</w:t>
      </w:r>
    </w:p>
    <w:p w:rsidR="00B007E4" w:rsidRPr="004B02EE" w:rsidRDefault="00B007E4" w:rsidP="00B007E4">
      <w:pPr>
        <w:spacing w:before="0"/>
        <w:ind w:firstLine="284"/>
        <w:jc w:val="center"/>
        <w:rPr>
          <w:color w:val="000000"/>
          <w:lang w:val="en-US"/>
        </w:rPr>
      </w:pPr>
      <w:r w:rsidRPr="004B02EE">
        <w:rPr>
          <w:color w:val="000000"/>
          <w:lang w:val="en-US"/>
        </w:rPr>
        <w:t xml:space="preserve">P. R. </w:t>
      </w:r>
      <w:proofErr w:type="spellStart"/>
      <w:r w:rsidRPr="004B02EE">
        <w:rPr>
          <w:color w:val="000000"/>
          <w:lang w:val="en-US"/>
        </w:rPr>
        <w:t>Enchilik</w:t>
      </w:r>
      <w:proofErr w:type="spellEnd"/>
      <w:r w:rsidRPr="004B02EE">
        <w:rPr>
          <w:color w:val="000000"/>
          <w:lang w:val="en-US"/>
        </w:rPr>
        <w:t xml:space="preserve">, E. N. </w:t>
      </w:r>
      <w:proofErr w:type="spellStart"/>
      <w:r w:rsidRPr="004B02EE">
        <w:rPr>
          <w:color w:val="000000"/>
          <w:lang w:val="en-US"/>
        </w:rPr>
        <w:t>Aseeva</w:t>
      </w:r>
      <w:proofErr w:type="spellEnd"/>
      <w:r w:rsidRPr="004B02EE">
        <w:rPr>
          <w:color w:val="000000"/>
          <w:lang w:val="en-US"/>
        </w:rPr>
        <w:t xml:space="preserve">, I. N. </w:t>
      </w:r>
      <w:proofErr w:type="spellStart"/>
      <w:r w:rsidRPr="004B02EE">
        <w:rPr>
          <w:color w:val="000000"/>
          <w:lang w:val="en-US"/>
        </w:rPr>
        <w:t>Semenkov</w:t>
      </w:r>
      <w:proofErr w:type="spellEnd"/>
      <w:r w:rsidRPr="004B02EE">
        <w:rPr>
          <w:color w:val="000000"/>
          <w:lang w:val="en-US"/>
        </w:rPr>
        <w:t xml:space="preserve">, E. V. </w:t>
      </w:r>
      <w:proofErr w:type="spellStart"/>
      <w:r w:rsidRPr="004B02EE">
        <w:rPr>
          <w:color w:val="000000"/>
          <w:lang w:val="en-US"/>
        </w:rPr>
        <w:t>Terskaya</w:t>
      </w:r>
      <w:proofErr w:type="spellEnd"/>
      <w:r w:rsidRPr="004B02EE">
        <w:rPr>
          <w:color w:val="000000"/>
          <w:lang w:val="en-US"/>
        </w:rPr>
        <w:t>, N. S. Kasimov</w:t>
      </w:r>
    </w:p>
    <w:p w:rsidR="00B007E4" w:rsidRDefault="00B007E4" w:rsidP="00B007E4">
      <w:pPr>
        <w:spacing w:before="0"/>
        <w:ind w:firstLine="284"/>
        <w:jc w:val="center"/>
        <w:rPr>
          <w:color w:val="000000"/>
          <w:lang w:val="en-US"/>
        </w:rPr>
      </w:pPr>
      <w:r w:rsidRPr="004B02EE">
        <w:rPr>
          <w:color w:val="000000"/>
          <w:lang w:val="en-US"/>
        </w:rPr>
        <w:t>Faculty</w:t>
      </w:r>
      <w:r w:rsidRPr="00C62C25">
        <w:rPr>
          <w:color w:val="000000"/>
          <w:lang w:val="en-US"/>
        </w:rPr>
        <w:t xml:space="preserve"> </w:t>
      </w:r>
      <w:r w:rsidRPr="004B02EE">
        <w:rPr>
          <w:color w:val="000000"/>
          <w:lang w:val="en-US"/>
        </w:rPr>
        <w:t xml:space="preserve">of </w:t>
      </w:r>
      <w:r>
        <w:rPr>
          <w:color w:val="000000"/>
          <w:lang w:val="en-US"/>
        </w:rPr>
        <w:t>G</w:t>
      </w:r>
      <w:r w:rsidRPr="004B02EE">
        <w:rPr>
          <w:color w:val="000000"/>
          <w:lang w:val="en-US"/>
        </w:rPr>
        <w:t>eography</w:t>
      </w:r>
      <w:r>
        <w:rPr>
          <w:color w:val="000000"/>
          <w:lang w:val="en-US"/>
        </w:rPr>
        <w:t>, M.V.</w:t>
      </w:r>
      <w:r w:rsidRPr="004B02EE">
        <w:rPr>
          <w:color w:val="000000"/>
          <w:lang w:val="en-US"/>
        </w:rPr>
        <w:t xml:space="preserve"> </w:t>
      </w:r>
      <w:proofErr w:type="spellStart"/>
      <w:r w:rsidRPr="004B02EE">
        <w:rPr>
          <w:color w:val="000000"/>
          <w:lang w:val="en-US"/>
        </w:rPr>
        <w:t>Lomonosov</w:t>
      </w:r>
      <w:proofErr w:type="spellEnd"/>
      <w:r w:rsidRPr="004B02EE">
        <w:rPr>
          <w:color w:val="000000"/>
          <w:lang w:val="en-US"/>
        </w:rPr>
        <w:t xml:space="preserve"> Moscow State University, Moscow, </w:t>
      </w:r>
      <w:r w:rsidRPr="000A5D66">
        <w:rPr>
          <w:color w:val="000000"/>
          <w:lang w:val="en-US"/>
        </w:rPr>
        <w:t>polimail@inbox.ru</w:t>
      </w:r>
    </w:p>
    <w:p w:rsidR="00515504" w:rsidRDefault="00515504" w:rsidP="00EA4736">
      <w:pPr>
        <w:spacing w:before="0"/>
        <w:jc w:val="both"/>
        <w:rPr>
          <w:i/>
          <w:lang w:val="en-US"/>
        </w:rPr>
      </w:pPr>
    </w:p>
    <w:p w:rsidR="00B007E4" w:rsidRPr="00515504" w:rsidRDefault="00B007E4" w:rsidP="00B007E4">
      <w:pPr>
        <w:spacing w:before="0"/>
        <w:ind w:firstLine="284"/>
        <w:jc w:val="both"/>
        <w:rPr>
          <w:i/>
          <w:lang w:val="en-US"/>
        </w:rPr>
      </w:pPr>
      <w:proofErr w:type="gramStart"/>
      <w:r>
        <w:rPr>
          <w:i/>
          <w:lang w:val="en"/>
        </w:rPr>
        <w:t>Summary</w:t>
      </w:r>
      <w:r w:rsidRPr="00515504">
        <w:rPr>
          <w:i/>
          <w:lang w:val="en-US"/>
        </w:rPr>
        <w:t>:</w:t>
      </w:r>
      <w:r w:rsidRPr="00515504">
        <w:rPr>
          <w:i/>
          <w:lang w:val="en"/>
        </w:rPr>
        <w:t xml:space="preserve"> </w:t>
      </w:r>
      <w:r>
        <w:rPr>
          <w:i/>
          <w:lang w:val="en"/>
        </w:rPr>
        <w:t>B</w:t>
      </w:r>
      <w:r w:rsidRPr="00515504">
        <w:rPr>
          <w:i/>
          <w:lang w:val="en"/>
        </w:rPr>
        <w:t xml:space="preserve">iogeochemical differentiation of the forest communities </w:t>
      </w:r>
      <w:r>
        <w:rPr>
          <w:i/>
          <w:lang w:val="en"/>
        </w:rPr>
        <w:t>in</w:t>
      </w:r>
      <w:r w:rsidRPr="00515504">
        <w:rPr>
          <w:i/>
          <w:lang w:val="en"/>
        </w:rPr>
        <w:t xml:space="preserve"> a catena </w:t>
      </w:r>
      <w:r>
        <w:rPr>
          <w:i/>
          <w:lang w:val="en"/>
        </w:rPr>
        <w:t>at</w:t>
      </w:r>
      <w:r w:rsidRPr="00515504">
        <w:rPr>
          <w:i/>
          <w:lang w:val="en"/>
        </w:rPr>
        <w:t xml:space="preserve"> the southern part of the Central-Forest Nature Reserve and the role of plants from herbaceous and tree canopies in </w:t>
      </w:r>
      <w:r>
        <w:rPr>
          <w:i/>
          <w:lang w:val="en"/>
        </w:rPr>
        <w:t xml:space="preserve">the </w:t>
      </w:r>
      <w:proofErr w:type="spellStart"/>
      <w:r w:rsidRPr="00515504">
        <w:rPr>
          <w:i/>
          <w:lang w:val="en"/>
        </w:rPr>
        <w:t>bio</w:t>
      </w:r>
      <w:r>
        <w:rPr>
          <w:i/>
          <w:lang w:val="en"/>
        </w:rPr>
        <w:t>cycle</w:t>
      </w:r>
      <w:proofErr w:type="spellEnd"/>
      <w:r w:rsidRPr="00515504">
        <w:rPr>
          <w:i/>
          <w:lang w:val="en"/>
        </w:rPr>
        <w:t xml:space="preserve"> of chemical elements w</w:t>
      </w:r>
      <w:r>
        <w:rPr>
          <w:i/>
          <w:lang w:val="en"/>
        </w:rPr>
        <w:t>ere</w:t>
      </w:r>
      <w:r w:rsidRPr="00515504">
        <w:rPr>
          <w:i/>
          <w:lang w:val="en"/>
        </w:rPr>
        <w:t xml:space="preserve"> revealed</w:t>
      </w:r>
      <w:r w:rsidRPr="00C62C25">
        <w:rPr>
          <w:i/>
          <w:lang w:val="en-US"/>
        </w:rPr>
        <w:t xml:space="preserve"> </w:t>
      </w:r>
      <w:r>
        <w:rPr>
          <w:i/>
          <w:lang w:val="en"/>
        </w:rPr>
        <w:t>b</w:t>
      </w:r>
      <w:r w:rsidRPr="00515504">
        <w:rPr>
          <w:i/>
          <w:lang w:val="en"/>
        </w:rPr>
        <w:t xml:space="preserve">ased on the determination of the total concentrations of </w:t>
      </w:r>
      <w:proofErr w:type="spellStart"/>
      <w:r w:rsidRPr="00515504">
        <w:rPr>
          <w:i/>
          <w:lang w:val="en"/>
        </w:rPr>
        <w:t>Ti</w:t>
      </w:r>
      <w:proofErr w:type="spellEnd"/>
      <w:r w:rsidRPr="00515504">
        <w:rPr>
          <w:i/>
          <w:lang w:val="en"/>
        </w:rPr>
        <w:t xml:space="preserve">, Fe, </w:t>
      </w:r>
      <w:proofErr w:type="spellStart"/>
      <w:r w:rsidRPr="00515504">
        <w:rPr>
          <w:i/>
          <w:lang w:val="en"/>
        </w:rPr>
        <w:t>Mn</w:t>
      </w:r>
      <w:proofErr w:type="spellEnd"/>
      <w:r w:rsidRPr="00515504">
        <w:rPr>
          <w:i/>
          <w:lang w:val="en"/>
        </w:rPr>
        <w:t xml:space="preserve">, Cr, Co, Ni, Cu, Zn, </w:t>
      </w:r>
      <w:proofErr w:type="spellStart"/>
      <w:r w:rsidRPr="00515504">
        <w:rPr>
          <w:i/>
          <w:lang w:val="en"/>
        </w:rPr>
        <w:t>Zr</w:t>
      </w:r>
      <w:proofErr w:type="spellEnd"/>
      <w:r w:rsidRPr="00515504">
        <w:rPr>
          <w:i/>
          <w:lang w:val="en"/>
        </w:rPr>
        <w:t xml:space="preserve">, </w:t>
      </w:r>
      <w:proofErr w:type="spellStart"/>
      <w:r w:rsidRPr="00515504">
        <w:rPr>
          <w:i/>
          <w:lang w:val="en"/>
        </w:rPr>
        <w:t>Sr</w:t>
      </w:r>
      <w:proofErr w:type="spellEnd"/>
      <w:r w:rsidRPr="00515504">
        <w:rPr>
          <w:i/>
          <w:lang w:val="en"/>
        </w:rPr>
        <w:t xml:space="preserve">, </w:t>
      </w:r>
      <w:proofErr w:type="spellStart"/>
      <w:r w:rsidRPr="00515504">
        <w:rPr>
          <w:i/>
          <w:lang w:val="en"/>
        </w:rPr>
        <w:t>Pb</w:t>
      </w:r>
      <w:proofErr w:type="spellEnd"/>
      <w:r w:rsidRPr="00515504">
        <w:rPr>
          <w:i/>
          <w:lang w:val="en"/>
        </w:rPr>
        <w:t xml:space="preserve">, Cd both in the </w:t>
      </w:r>
      <w:proofErr w:type="spellStart"/>
      <w:r w:rsidRPr="00515504">
        <w:rPr>
          <w:i/>
          <w:lang w:val="en"/>
        </w:rPr>
        <w:t>phytomass</w:t>
      </w:r>
      <w:proofErr w:type="spellEnd"/>
      <w:r w:rsidRPr="00515504">
        <w:rPr>
          <w:i/>
          <w:lang w:val="en"/>
        </w:rPr>
        <w:t xml:space="preserve"> and in the soils and the calculation of biogeochemical coefficients.</w:t>
      </w:r>
      <w:proofErr w:type="gramEnd"/>
      <w:r w:rsidRPr="00515504">
        <w:rPr>
          <w:i/>
          <w:lang w:val="en"/>
        </w:rPr>
        <w:t xml:space="preserve"> Our results show that the </w:t>
      </w:r>
      <w:r>
        <w:rPr>
          <w:i/>
          <w:lang w:val="en"/>
        </w:rPr>
        <w:t>micro</w:t>
      </w:r>
      <w:r w:rsidRPr="00515504">
        <w:rPr>
          <w:i/>
          <w:lang w:val="en"/>
        </w:rPr>
        <w:t>elements (</w:t>
      </w:r>
      <w:proofErr w:type="spellStart"/>
      <w:r w:rsidRPr="00515504">
        <w:rPr>
          <w:i/>
          <w:lang w:val="en"/>
        </w:rPr>
        <w:t>Mn</w:t>
      </w:r>
      <w:proofErr w:type="spellEnd"/>
      <w:r w:rsidRPr="00515504">
        <w:rPr>
          <w:i/>
          <w:lang w:val="en"/>
        </w:rPr>
        <w:t xml:space="preserve">, Zn, Co) are incorporated into the </w:t>
      </w:r>
      <w:proofErr w:type="spellStart"/>
      <w:r w:rsidRPr="00515504">
        <w:rPr>
          <w:i/>
          <w:lang w:val="en"/>
        </w:rPr>
        <w:t>biocycle</w:t>
      </w:r>
      <w:proofErr w:type="spellEnd"/>
      <w:r w:rsidRPr="00515504">
        <w:rPr>
          <w:i/>
          <w:lang w:val="en"/>
        </w:rPr>
        <w:t xml:space="preserve"> in the catena’s landscapes mainly due to their uptake from soils by woody plants, while the biogenic migration of elements with low bio</w:t>
      </w:r>
      <w:proofErr w:type="spellStart"/>
      <w:r>
        <w:rPr>
          <w:i/>
          <w:lang w:val="en-US"/>
        </w:rPr>
        <w:t>availa</w:t>
      </w:r>
      <w:r>
        <w:rPr>
          <w:i/>
          <w:lang w:val="en"/>
        </w:rPr>
        <w:t>bility</w:t>
      </w:r>
      <w:proofErr w:type="spellEnd"/>
      <w:r w:rsidRPr="00515504">
        <w:rPr>
          <w:i/>
          <w:lang w:val="en"/>
        </w:rPr>
        <w:t xml:space="preserve"> (Fe, </w:t>
      </w:r>
      <w:proofErr w:type="spellStart"/>
      <w:r w:rsidRPr="00515504">
        <w:rPr>
          <w:i/>
          <w:lang w:val="en"/>
        </w:rPr>
        <w:t>Ti</w:t>
      </w:r>
      <w:proofErr w:type="spellEnd"/>
      <w:r w:rsidRPr="00515504">
        <w:rPr>
          <w:i/>
          <w:lang w:val="en"/>
        </w:rPr>
        <w:t xml:space="preserve">, Cr, </w:t>
      </w:r>
      <w:proofErr w:type="spellStart"/>
      <w:r w:rsidRPr="00515504">
        <w:rPr>
          <w:i/>
          <w:lang w:val="en"/>
        </w:rPr>
        <w:t>Zr</w:t>
      </w:r>
      <w:proofErr w:type="spellEnd"/>
      <w:r w:rsidRPr="00515504">
        <w:rPr>
          <w:i/>
          <w:lang w:val="en"/>
        </w:rPr>
        <w:t xml:space="preserve">, </w:t>
      </w:r>
      <w:proofErr w:type="spellStart"/>
      <w:r w:rsidRPr="00515504">
        <w:rPr>
          <w:i/>
          <w:lang w:val="en"/>
        </w:rPr>
        <w:t>Pb</w:t>
      </w:r>
      <w:proofErr w:type="spellEnd"/>
      <w:r w:rsidRPr="00515504">
        <w:rPr>
          <w:i/>
          <w:lang w:val="en"/>
        </w:rPr>
        <w:t xml:space="preserve">) is related to </w:t>
      </w:r>
      <w:r>
        <w:rPr>
          <w:i/>
          <w:lang w:val="en-US"/>
        </w:rPr>
        <w:t xml:space="preserve">fixation </w:t>
      </w:r>
      <w:r w:rsidRPr="00515504">
        <w:rPr>
          <w:i/>
          <w:lang w:val="en-US"/>
        </w:rPr>
        <w:t xml:space="preserve">from soils by </w:t>
      </w:r>
      <w:r w:rsidRPr="00515504">
        <w:rPr>
          <w:i/>
          <w:lang w:val="en"/>
        </w:rPr>
        <w:t>sphagnum moss and herbaceous plants.</w:t>
      </w:r>
    </w:p>
    <w:p w:rsidR="00B007E4" w:rsidRPr="00515504" w:rsidRDefault="00B007E4" w:rsidP="00B007E4">
      <w:pPr>
        <w:spacing w:before="0"/>
        <w:ind w:firstLine="284"/>
        <w:jc w:val="both"/>
        <w:rPr>
          <w:i/>
          <w:color w:val="000000"/>
          <w:lang w:val="en-US"/>
        </w:rPr>
      </w:pPr>
    </w:p>
    <w:p w:rsidR="00B007E4" w:rsidRPr="00515504" w:rsidRDefault="00B007E4" w:rsidP="00B007E4">
      <w:pPr>
        <w:spacing w:before="0"/>
        <w:ind w:firstLine="284"/>
        <w:jc w:val="both"/>
        <w:rPr>
          <w:i/>
          <w:color w:val="000000"/>
          <w:lang w:val="en-US"/>
        </w:rPr>
      </w:pPr>
      <w:r w:rsidRPr="00515504">
        <w:rPr>
          <w:i/>
          <w:lang w:val="en"/>
        </w:rPr>
        <w:t xml:space="preserve">Key words: catena, </w:t>
      </w:r>
      <w:r w:rsidRPr="00515504">
        <w:rPr>
          <w:i/>
          <w:lang w:val="en-US"/>
        </w:rPr>
        <w:t xml:space="preserve">trace </w:t>
      </w:r>
      <w:r w:rsidRPr="00515504">
        <w:rPr>
          <w:i/>
          <w:lang w:val="en"/>
        </w:rPr>
        <w:t>elements, coniferous-broadleaf communities, biogeochemical specialization, photosynthetic organs of plants, biogeochemical activity of species.</w:t>
      </w:r>
    </w:p>
    <w:p w:rsidR="00515504" w:rsidRPr="00515504" w:rsidRDefault="00515504" w:rsidP="00515504">
      <w:pPr>
        <w:spacing w:before="0"/>
        <w:ind w:firstLine="284"/>
        <w:jc w:val="both"/>
        <w:rPr>
          <w:i/>
          <w:color w:val="000000"/>
          <w:lang w:val="en-US"/>
        </w:rPr>
      </w:pPr>
      <w:r w:rsidRPr="00515504">
        <w:rPr>
          <w:i/>
          <w:lang w:val="en"/>
        </w:rPr>
        <w:t>.</w:t>
      </w:r>
    </w:p>
    <w:p w:rsidR="00EA4736" w:rsidRPr="007246AA" w:rsidRDefault="00EA4736" w:rsidP="00CC3151">
      <w:pPr>
        <w:spacing w:before="0"/>
        <w:rPr>
          <w:i/>
          <w:color w:val="000000"/>
          <w:lang w:val="en-US"/>
        </w:rPr>
      </w:pPr>
    </w:p>
    <w:sectPr w:rsidR="00EA4736" w:rsidRPr="007246AA" w:rsidSect="009F11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409"/>
    <w:multiLevelType w:val="hybridMultilevel"/>
    <w:tmpl w:val="B3FE8DBE"/>
    <w:lvl w:ilvl="0" w:tplc="F37A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5E9"/>
    <w:multiLevelType w:val="hybridMultilevel"/>
    <w:tmpl w:val="733A0796"/>
    <w:lvl w:ilvl="0" w:tplc="4576390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3347"/>
    <w:multiLevelType w:val="hybridMultilevel"/>
    <w:tmpl w:val="B58A1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B1"/>
    <w:rsid w:val="00003E1C"/>
    <w:rsid w:val="00010F97"/>
    <w:rsid w:val="0001164D"/>
    <w:rsid w:val="0001391D"/>
    <w:rsid w:val="00047278"/>
    <w:rsid w:val="00050D74"/>
    <w:rsid w:val="00073B53"/>
    <w:rsid w:val="000952F9"/>
    <w:rsid w:val="000A5D66"/>
    <w:rsid w:val="000C6F1E"/>
    <w:rsid w:val="000C7723"/>
    <w:rsid w:val="000D127F"/>
    <w:rsid w:val="000D57F2"/>
    <w:rsid w:val="000D7F37"/>
    <w:rsid w:val="000E4E13"/>
    <w:rsid w:val="00110B5B"/>
    <w:rsid w:val="001219CB"/>
    <w:rsid w:val="00123A40"/>
    <w:rsid w:val="001500EF"/>
    <w:rsid w:val="001902CB"/>
    <w:rsid w:val="0019045A"/>
    <w:rsid w:val="00195B7B"/>
    <w:rsid w:val="00197BED"/>
    <w:rsid w:val="001B35C5"/>
    <w:rsid w:val="001B4525"/>
    <w:rsid w:val="001C6393"/>
    <w:rsid w:val="002025FE"/>
    <w:rsid w:val="00216D10"/>
    <w:rsid w:val="00223928"/>
    <w:rsid w:val="00227A3C"/>
    <w:rsid w:val="002317B1"/>
    <w:rsid w:val="00233848"/>
    <w:rsid w:val="00244037"/>
    <w:rsid w:val="00253637"/>
    <w:rsid w:val="002770C4"/>
    <w:rsid w:val="00285B3A"/>
    <w:rsid w:val="002A1FA6"/>
    <w:rsid w:val="002B1917"/>
    <w:rsid w:val="002E76B6"/>
    <w:rsid w:val="0031398F"/>
    <w:rsid w:val="00326A19"/>
    <w:rsid w:val="003860AC"/>
    <w:rsid w:val="0038684A"/>
    <w:rsid w:val="0039088B"/>
    <w:rsid w:val="003B5C94"/>
    <w:rsid w:val="003D641E"/>
    <w:rsid w:val="003F2B51"/>
    <w:rsid w:val="00410B72"/>
    <w:rsid w:val="00430CA1"/>
    <w:rsid w:val="00437B13"/>
    <w:rsid w:val="00453AE8"/>
    <w:rsid w:val="004902DA"/>
    <w:rsid w:val="004B02EE"/>
    <w:rsid w:val="004C6E3E"/>
    <w:rsid w:val="004E64BD"/>
    <w:rsid w:val="00506E19"/>
    <w:rsid w:val="00515504"/>
    <w:rsid w:val="00531517"/>
    <w:rsid w:val="00544B99"/>
    <w:rsid w:val="00550EB1"/>
    <w:rsid w:val="00570803"/>
    <w:rsid w:val="00574601"/>
    <w:rsid w:val="00590479"/>
    <w:rsid w:val="005B09EA"/>
    <w:rsid w:val="005E0FE4"/>
    <w:rsid w:val="005F048F"/>
    <w:rsid w:val="005F4053"/>
    <w:rsid w:val="00616399"/>
    <w:rsid w:val="00650B93"/>
    <w:rsid w:val="00655EE0"/>
    <w:rsid w:val="006702A3"/>
    <w:rsid w:val="00680168"/>
    <w:rsid w:val="00680217"/>
    <w:rsid w:val="0069427A"/>
    <w:rsid w:val="006A6F74"/>
    <w:rsid w:val="006B0970"/>
    <w:rsid w:val="006D49A2"/>
    <w:rsid w:val="006F61F3"/>
    <w:rsid w:val="007246AA"/>
    <w:rsid w:val="00731CCA"/>
    <w:rsid w:val="0075694B"/>
    <w:rsid w:val="0077758C"/>
    <w:rsid w:val="007C3B72"/>
    <w:rsid w:val="007D3760"/>
    <w:rsid w:val="00812D18"/>
    <w:rsid w:val="00866D27"/>
    <w:rsid w:val="008753F5"/>
    <w:rsid w:val="00883C80"/>
    <w:rsid w:val="008B2C81"/>
    <w:rsid w:val="008B6712"/>
    <w:rsid w:val="008D4F4E"/>
    <w:rsid w:val="008E5E08"/>
    <w:rsid w:val="008F34CF"/>
    <w:rsid w:val="00906177"/>
    <w:rsid w:val="00916122"/>
    <w:rsid w:val="00943CF7"/>
    <w:rsid w:val="00957A3C"/>
    <w:rsid w:val="009A017A"/>
    <w:rsid w:val="009F11BF"/>
    <w:rsid w:val="00A70A18"/>
    <w:rsid w:val="00A7660C"/>
    <w:rsid w:val="00AA27D6"/>
    <w:rsid w:val="00AE1658"/>
    <w:rsid w:val="00B007E4"/>
    <w:rsid w:val="00B25B6C"/>
    <w:rsid w:val="00B34145"/>
    <w:rsid w:val="00B77B99"/>
    <w:rsid w:val="00B85D88"/>
    <w:rsid w:val="00B958CD"/>
    <w:rsid w:val="00BB26D6"/>
    <w:rsid w:val="00BE578F"/>
    <w:rsid w:val="00C03850"/>
    <w:rsid w:val="00C07B44"/>
    <w:rsid w:val="00C07BA9"/>
    <w:rsid w:val="00C1317B"/>
    <w:rsid w:val="00C20AD2"/>
    <w:rsid w:val="00C45514"/>
    <w:rsid w:val="00C71CCE"/>
    <w:rsid w:val="00C910FE"/>
    <w:rsid w:val="00C96026"/>
    <w:rsid w:val="00CB0672"/>
    <w:rsid w:val="00CC3151"/>
    <w:rsid w:val="00CE242E"/>
    <w:rsid w:val="00CF551B"/>
    <w:rsid w:val="00D32F71"/>
    <w:rsid w:val="00D453AC"/>
    <w:rsid w:val="00D82190"/>
    <w:rsid w:val="00D86C5B"/>
    <w:rsid w:val="00DB0C91"/>
    <w:rsid w:val="00DB257B"/>
    <w:rsid w:val="00DD025B"/>
    <w:rsid w:val="00DD5B66"/>
    <w:rsid w:val="00DE3347"/>
    <w:rsid w:val="00DE63ED"/>
    <w:rsid w:val="00DF4F45"/>
    <w:rsid w:val="00DF5544"/>
    <w:rsid w:val="00E23A96"/>
    <w:rsid w:val="00E23BFD"/>
    <w:rsid w:val="00E45586"/>
    <w:rsid w:val="00E559F0"/>
    <w:rsid w:val="00E70884"/>
    <w:rsid w:val="00E91F4D"/>
    <w:rsid w:val="00E93DA5"/>
    <w:rsid w:val="00E94508"/>
    <w:rsid w:val="00EA4736"/>
    <w:rsid w:val="00EB600C"/>
    <w:rsid w:val="00EC78CB"/>
    <w:rsid w:val="00ED4600"/>
    <w:rsid w:val="00EF5D3D"/>
    <w:rsid w:val="00F06DA6"/>
    <w:rsid w:val="00F073E8"/>
    <w:rsid w:val="00F26E82"/>
    <w:rsid w:val="00F37658"/>
    <w:rsid w:val="00F5793F"/>
    <w:rsid w:val="00F61906"/>
    <w:rsid w:val="00FA52DD"/>
    <w:rsid w:val="00FA59B4"/>
    <w:rsid w:val="00FD379A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1AB3-D64A-49BD-A7C6-EE8A75F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9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37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67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8B6712"/>
    <w:pPr>
      <w:spacing w:before="0"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11">
    <w:name w:val="Сетка таблицы1"/>
    <w:basedOn w:val="a1"/>
    <w:next w:val="a4"/>
    <w:uiPriority w:val="39"/>
    <w:rsid w:val="008B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B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3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mailrucssattributepostfix">
    <w:name w:val="msonormal_mailru_css_attribute_postfix"/>
    <w:basedOn w:val="a"/>
    <w:rsid w:val="009F11BF"/>
    <w:pPr>
      <w:spacing w:before="100" w:beforeAutospacing="1" w:after="100" w:afterAutospacing="1"/>
    </w:pPr>
    <w:rPr>
      <w:lang w:eastAsia="ru-RU"/>
    </w:rPr>
  </w:style>
  <w:style w:type="character" w:customStyle="1" w:styleId="spellemailrucssattributepostfix">
    <w:name w:val="spelle_mailru_css_attribute_postfix"/>
    <w:basedOn w:val="a0"/>
    <w:rsid w:val="009F11BF"/>
  </w:style>
  <w:style w:type="character" w:styleId="a5">
    <w:name w:val="Strong"/>
    <w:basedOn w:val="a0"/>
    <w:uiPriority w:val="22"/>
    <w:qFormat/>
    <w:rsid w:val="009F11BF"/>
    <w:rPr>
      <w:b/>
      <w:bCs/>
    </w:rPr>
  </w:style>
  <w:style w:type="character" w:customStyle="1" w:styleId="gramemailrucssattributepostfix">
    <w:name w:val="grame_mailru_css_attribute_postfix"/>
    <w:basedOn w:val="a0"/>
    <w:rsid w:val="009F11BF"/>
  </w:style>
  <w:style w:type="character" w:styleId="a6">
    <w:name w:val="Hyperlink"/>
    <w:basedOn w:val="a0"/>
    <w:uiPriority w:val="99"/>
    <w:unhideWhenUsed/>
    <w:rsid w:val="008B2C8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06DA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00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7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007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07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10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Bang &amp; Bonsomer</Company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 Moscow</dc:creator>
  <cp:keywords/>
  <dc:description/>
  <cp:lastModifiedBy>Пользователь</cp:lastModifiedBy>
  <cp:revision>39</cp:revision>
  <dcterms:created xsi:type="dcterms:W3CDTF">2018-06-14T09:49:00Z</dcterms:created>
  <dcterms:modified xsi:type="dcterms:W3CDTF">2019-01-12T15:17:00Z</dcterms:modified>
</cp:coreProperties>
</file>