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Выделение радионуклидов из водных растворов с помощью оксида графена</w:t>
      </w:r>
    </w:p>
    <w:p>
      <w:pPr>
        <w:pStyle w:val="Текстовый блок A"/>
        <w:jc w:val="center"/>
        <w:rPr>
          <w:sz w:val="22"/>
          <w:szCs w:val="22"/>
        </w:rPr>
      </w:pPr>
    </w:p>
    <w:p>
      <w:pPr>
        <w:pStyle w:val="Текстовый блок A"/>
        <w:jc w:val="center"/>
      </w:pPr>
      <w:r>
        <w:rPr>
          <w:rtl w:val="0"/>
          <w:lang w:val="ru-RU"/>
        </w:rPr>
        <w:t xml:space="preserve">Студентка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Кузенкова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Текстовый блок A"/>
        <w:jc w:val="center"/>
      </w:pPr>
      <w:r>
        <w:rPr>
          <w:rtl w:val="0"/>
          <w:lang w:val="ru-RU"/>
        </w:rPr>
        <w:t>Руководители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Романчук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член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корр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 Калмыков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</w:p>
    <w:p>
      <w:pPr>
        <w:pStyle w:val="Текстовый блок A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Ломоносова</w:t>
      </w:r>
    </w:p>
    <w:p>
      <w:pPr>
        <w:pStyle w:val="Текстовый блок A"/>
        <w:jc w:val="center"/>
        <w:rPr>
          <w:rStyle w:val="Нет"/>
          <w:i w:val="1"/>
          <w:iCs w:val="1"/>
        </w:rPr>
      </w:pPr>
      <w:r>
        <w:rPr>
          <w:rStyle w:val="Hyperlink.0"/>
          <w:i w:val="1"/>
          <w:iCs w:val="1"/>
          <w:u w:val="single"/>
          <w:lang w:val="en-US"/>
        </w:rPr>
        <w:fldChar w:fldCharType="begin" w:fldLock="0"/>
      </w:r>
      <w:r>
        <w:rPr>
          <w:rStyle w:val="Hyperlink.0"/>
          <w:i w:val="1"/>
          <w:iCs w:val="1"/>
          <w:u w:val="single"/>
          <w:lang w:val="en-US"/>
        </w:rPr>
        <w:instrText xml:space="preserve"> HYPERLINK "mailto:kyznastya@mail.ru"</w:instrText>
      </w:r>
      <w:r>
        <w:rPr>
          <w:rStyle w:val="Hyperlink.0"/>
          <w:i w:val="1"/>
          <w:iCs w:val="1"/>
          <w:u w:val="single"/>
          <w:lang w:val="en-US"/>
        </w:rPr>
        <w:fldChar w:fldCharType="separate" w:fldLock="0"/>
      </w:r>
      <w:r>
        <w:rPr>
          <w:rStyle w:val="Hyperlink.0"/>
          <w:i w:val="1"/>
          <w:iCs w:val="1"/>
          <w:u w:val="single"/>
          <w:rtl w:val="0"/>
          <w:lang w:val="en-US"/>
        </w:rPr>
        <w:t>kyznastya</w:t>
      </w:r>
      <w:r>
        <w:rPr>
          <w:rStyle w:val="Нет"/>
          <w:i w:val="1"/>
          <w:iCs w:val="1"/>
          <w:u w:val="single"/>
          <w:rtl w:val="0"/>
          <w:lang w:val="ru-RU"/>
        </w:rPr>
        <w:t>@</w:t>
      </w:r>
      <w:r>
        <w:rPr>
          <w:rStyle w:val="Hyperlink.0"/>
          <w:i w:val="1"/>
          <w:iCs w:val="1"/>
          <w:u w:val="single"/>
          <w:rtl w:val="0"/>
          <w:lang w:val="en-US"/>
        </w:rPr>
        <w:t>mail</w:t>
      </w:r>
      <w:r>
        <w:rPr>
          <w:rStyle w:val="Нет"/>
          <w:i w:val="1"/>
          <w:iCs w:val="1"/>
          <w:u w:val="single"/>
          <w:rtl w:val="0"/>
          <w:lang w:val="ru-RU"/>
        </w:rPr>
        <w:t>.</w:t>
      </w:r>
      <w:r>
        <w:rPr>
          <w:rStyle w:val="Hyperlink.0"/>
          <w:i w:val="1"/>
          <w:iCs w:val="1"/>
          <w:u w:val="single"/>
          <w:rtl w:val="0"/>
          <w:lang w:val="en-US"/>
        </w:rPr>
        <w:t>ru</w:t>
      </w:r>
      <w:r>
        <w:rPr/>
        <w:fldChar w:fldCharType="end" w:fldLock="0"/>
      </w:r>
    </w:p>
    <w:p>
      <w:pPr>
        <w:pStyle w:val="Текстовый блок A"/>
        <w:jc w:val="center"/>
        <w:rPr>
          <w:i w:val="1"/>
          <w:iCs w:val="1"/>
          <w:sz w:val="22"/>
          <w:szCs w:val="22"/>
        </w:rPr>
      </w:pPr>
    </w:p>
    <w:p>
      <w:pPr>
        <w:pStyle w:val="Текстовый блок A"/>
        <w:ind w:firstLine="567"/>
        <w:rPr>
          <w:rStyle w:val="Нет"/>
          <w:u w:color="000000"/>
          <w:shd w:val="clear" w:color="auto" w:fill="ffffff"/>
        </w:rPr>
      </w:pPr>
      <w:r>
        <w:rPr>
          <w:rStyle w:val="Нет"/>
          <w:u w:color="000000"/>
          <w:shd w:val="clear" w:color="auto" w:fill="ffffff"/>
          <w:rtl w:val="0"/>
          <w:lang w:val="ru-RU"/>
        </w:rPr>
        <w:t>Одной из важнейших задач современной ядерной энергетики является разработка недорогих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</w:rPr>
        <w:t>простых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</w:rPr>
        <w:t>эффективных и экологичных методов обращения с РАО и реабилитация загрязненных радионуклидами территорий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</w:rPr>
        <w:t>В связи с этим в последнее время большое внимание уделяется перспективным углеродным наноматериалам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</w:rPr>
        <w:t>Среди них выделяется оксид графена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который обладает наиболее доступной поверхностью 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теоретические оценки составляют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2630 </w:t>
      </w:r>
      <w:r>
        <w:rPr>
          <w:rStyle w:val="Нет"/>
          <w:u w:color="000000"/>
          <w:shd w:val="clear" w:color="auto" w:fill="ffffff"/>
          <w:rtl w:val="0"/>
          <w:lang w:val="ru-RU"/>
        </w:rPr>
        <w:t>м</w:t>
      </w:r>
      <w:r>
        <w:rPr>
          <w:rStyle w:val="Нет"/>
          <w:u w:color="000000"/>
          <w:shd w:val="clear" w:color="auto" w:fill="ffffff"/>
          <w:vertAlign w:val="superscript"/>
          <w:rtl w:val="0"/>
          <w:lang w:val="ru-RU"/>
        </w:rPr>
        <w:t>2</w:t>
      </w:r>
      <w:r>
        <w:rPr>
          <w:rStyle w:val="Нет"/>
          <w:u w:color="000000"/>
          <w:shd w:val="clear" w:color="auto" w:fill="ffffff"/>
          <w:rtl w:val="0"/>
          <w:lang w:val="ru-RU"/>
        </w:rPr>
        <w:t>/</w:t>
      </w:r>
      <w:r>
        <w:rPr>
          <w:rStyle w:val="Нет"/>
          <w:u w:color="000000"/>
          <w:shd w:val="clear" w:color="auto" w:fill="ffffff"/>
          <w:rtl w:val="0"/>
          <w:lang w:val="ru-RU"/>
        </w:rPr>
        <w:t>г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), </w:t>
      </w:r>
      <w:r>
        <w:rPr>
          <w:rStyle w:val="Нет"/>
          <w:u w:color="000000"/>
          <w:shd w:val="clear" w:color="auto" w:fill="ffffff"/>
          <w:rtl w:val="0"/>
          <w:lang w:val="ru-RU"/>
        </w:rPr>
        <w:t>и который можно достаточно просто синтезировать</w:t>
      </w:r>
      <w:r>
        <w:rPr>
          <w:rStyle w:val="Нет"/>
          <w:u w:color="000000"/>
          <w:shd w:val="clear" w:color="auto" w:fill="ffffff"/>
          <w:rtl w:val="0"/>
          <w:lang w:val="ru-RU"/>
        </w:rPr>
        <w:t>.</w:t>
      </w:r>
    </w:p>
    <w:p>
      <w:pPr>
        <w:pStyle w:val="Текстовый блок A"/>
        <w:ind w:firstLine="567"/>
        <w:rPr>
          <w:rStyle w:val="Нет"/>
          <w:u w:color="000000"/>
          <w:shd w:val="clear" w:color="auto" w:fill="ffffff"/>
        </w:rPr>
      </w:pPr>
      <w:r>
        <w:rPr>
          <w:rStyle w:val="Нет"/>
          <w:u w:color="000000"/>
          <w:shd w:val="clear" w:color="auto" w:fill="ffffff"/>
          <w:rtl w:val="0"/>
          <w:lang w:val="ru-RU"/>
        </w:rPr>
        <w:t>Целью данной работы является исследование закономерностей выделения различных радионуклидов из водных растворов с помощью оксида графена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</w:rPr>
        <w:t>Для выполнения были поставлены следующие задачи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u w:color="000000"/>
          <w:shd w:val="clear" w:color="auto" w:fill="ffffff"/>
          <w:rtl w:val="0"/>
          <w:lang w:val="ru-RU"/>
        </w:rPr>
        <w:t>синтез образцов оксида графена с различной степенью очистки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u w:color="000000"/>
          <w:shd w:val="clear" w:color="auto" w:fill="ffffff"/>
          <w:rtl w:val="0"/>
          <w:lang w:val="ru-RU"/>
        </w:rPr>
        <w:t>изучение сорбционных свойств различных образцов оксида графена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установление механизмов и закономерностей сорбции </w:t>
      </w:r>
      <w:r>
        <w:rPr>
          <w:rStyle w:val="Нет"/>
          <w:u w:color="000000"/>
          <w:shd w:val="clear" w:color="auto" w:fill="ffffff"/>
          <w:rtl w:val="0"/>
          <w:lang w:val="en-US"/>
        </w:rPr>
        <w:t>Sr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en-US"/>
        </w:rPr>
        <w:t>II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и </w:t>
      </w:r>
      <w:r>
        <w:rPr>
          <w:rStyle w:val="Нет"/>
          <w:u w:color="000000"/>
          <w:shd w:val="clear" w:color="auto" w:fill="ffffff"/>
          <w:rtl w:val="0"/>
          <w:lang w:val="en-US"/>
        </w:rPr>
        <w:t>Cs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en-US"/>
        </w:rPr>
        <w:t>I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); </w:t>
      </w:r>
      <w:r>
        <w:rPr>
          <w:rStyle w:val="Нет"/>
          <w:u w:color="000000"/>
          <w:shd w:val="clear" w:color="auto" w:fill="ffffff"/>
          <w:rtl w:val="0"/>
          <w:lang w:val="ru-RU"/>
        </w:rPr>
        <w:t>изучение влияния присутствия конкурирующих катионов в растворе на сорбцию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u w:color="000000"/>
          <w:shd w:val="clear" w:color="auto" w:fill="ffffff"/>
          <w:rtl w:val="0"/>
          <w:lang w:val="ru-RU"/>
        </w:rPr>
        <w:t>исследование возможных методов обращения с оксидом графена после сорбции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u w:color="000000"/>
          <w:shd w:val="clear" w:color="auto" w:fill="ffffff"/>
          <w:rtl w:val="0"/>
          <w:lang w:val="ru-RU"/>
        </w:rPr>
        <w:t>установление закономерностей коагуляции оксида графена в водных растворах</w:t>
      </w:r>
      <w:r>
        <w:rPr>
          <w:rStyle w:val="Нет"/>
          <w:u w:color="000000"/>
          <w:shd w:val="clear" w:color="auto" w:fill="ffffff"/>
          <w:rtl w:val="0"/>
          <w:lang w:val="ru-RU"/>
        </w:rPr>
        <w:t>.</w:t>
      </w:r>
    </w:p>
    <w:p>
      <w:pPr>
        <w:pStyle w:val="Текстовый блок A"/>
        <w:ind w:firstLine="567"/>
        <w:rPr>
          <w:rStyle w:val="Нет"/>
          <w:u w:color="000000"/>
          <w:shd w:val="clear" w:color="auto" w:fill="ffffff"/>
        </w:rPr>
      </w:pP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Для синтеза оксида графена был использован модифицированный метод </w:t>
      </w:r>
      <w:r>
        <w:rPr>
          <w:rStyle w:val="Нет"/>
          <w:rFonts w:ascii="Arial Unicode MS" w:cs="Arial Unicode MS" w:hAnsi="Arial Unicode MS" w:eastAsia="Arial Unicode MS"/>
          <w:u w:color="000000"/>
          <w:shd w:val="clear" w:color="auto" w:fill="ffffff"/>
          <w:lang w:val="ru-RU"/>
        </w:rPr>
        <w:br w:type="textWrapping"/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Хамера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[1] </w:t>
      </w:r>
      <w:r>
        <w:rPr>
          <w:rStyle w:val="Нет"/>
          <w:u w:color="000000"/>
          <w:shd w:val="clear" w:color="auto" w:fill="ffffff"/>
          <w:rtl w:val="0"/>
          <w:lang w:val="ru-RU"/>
        </w:rPr>
        <w:t>с последующей промывкой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</w:rPr>
        <w:t>Выявлено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</w:rPr>
        <w:t>что наилучшую сорбцию показывают образцы после промывки водой и кислотой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что было доказано результатами РФЭС и высоким процентом сорбции </w:t>
      </w:r>
      <w:r>
        <w:rPr>
          <w:rStyle w:val="Нет"/>
          <w:u w:color="000000"/>
          <w:shd w:val="clear" w:color="auto" w:fill="ffffff"/>
          <w:rtl w:val="0"/>
          <w:lang w:val="en-US"/>
        </w:rPr>
        <w:t>Am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en-US"/>
        </w:rPr>
        <w:t>III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u w:color="000000"/>
          <w:shd w:val="clear" w:color="auto" w:fill="ffffff"/>
          <w:rtl w:val="0"/>
          <w:lang w:val="ru-RU"/>
        </w:rPr>
        <w:t>в присутствии конкурирующих катионов на поверхности оксида графена</w:t>
      </w:r>
      <w:r>
        <w:rPr>
          <w:rStyle w:val="Нет"/>
          <w:u w:color="000000"/>
          <w:shd w:val="clear" w:color="auto" w:fill="ffffff"/>
          <w:rtl w:val="0"/>
          <w:lang w:val="ru-RU"/>
        </w:rPr>
        <w:t>.</w:t>
      </w:r>
    </w:p>
    <w:p>
      <w:pPr>
        <w:pStyle w:val="Текстовый блок A"/>
        <w:ind w:firstLine="567"/>
        <w:rPr>
          <w:rStyle w:val="Нет"/>
          <w:u w:color="000000"/>
          <w:shd w:val="clear" w:color="auto" w:fill="ffffff"/>
        </w:rPr>
      </w:pP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При изучении зависимостей сорбции </w:t>
      </w:r>
      <w:r>
        <w:rPr>
          <w:rStyle w:val="Нет"/>
          <w:u w:color="000000"/>
          <w:shd w:val="clear" w:color="auto" w:fill="ffffff"/>
          <w:rtl w:val="0"/>
          <w:lang w:val="en-US"/>
        </w:rPr>
        <w:t>Cs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en-US"/>
        </w:rPr>
        <w:t>I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и </w:t>
      </w:r>
      <w:r>
        <w:rPr>
          <w:rStyle w:val="Нет"/>
          <w:u w:color="000000"/>
          <w:shd w:val="clear" w:color="auto" w:fill="ffffff"/>
          <w:rtl w:val="0"/>
          <w:lang w:val="en-US"/>
        </w:rPr>
        <w:t>Sr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en-US"/>
        </w:rPr>
        <w:t>II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от значений </w:t>
      </w:r>
      <w:r>
        <w:rPr>
          <w:rStyle w:val="Нет"/>
          <w:u w:color="000000"/>
          <w:shd w:val="clear" w:color="auto" w:fill="ffffff"/>
          <w:rtl w:val="0"/>
          <w:lang w:val="en-US"/>
        </w:rPr>
        <w:t>pH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 и ионной силы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</w:rPr>
        <w:t>были выяснены механизмы сорбции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для </w:t>
      </w:r>
      <w:r>
        <w:rPr>
          <w:rStyle w:val="Нет"/>
          <w:u w:color="000000"/>
          <w:shd w:val="clear" w:color="auto" w:fill="ffffff"/>
          <w:rtl w:val="0"/>
          <w:lang w:val="en-US"/>
        </w:rPr>
        <w:t>Sr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en-US"/>
        </w:rPr>
        <w:t>II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при </w:t>
      </w:r>
      <w:r>
        <w:rPr>
          <w:rStyle w:val="Нет"/>
          <w:u w:color="000000"/>
          <w:shd w:val="clear" w:color="auto" w:fill="ffffff"/>
          <w:rtl w:val="0"/>
          <w:lang w:val="en-US"/>
        </w:rPr>
        <w:t>pH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&gt;5 </w:t>
      </w:r>
      <w:r>
        <w:rPr>
          <w:rStyle w:val="Нет"/>
          <w:u w:color="000000"/>
          <w:shd w:val="clear" w:color="auto" w:fill="ffffff"/>
          <w:rtl w:val="0"/>
          <w:lang w:val="ru-RU"/>
        </w:rPr>
        <w:t>– образование внутрисферных комплексов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а при </w:t>
      </w:r>
      <w:r>
        <w:rPr>
          <w:rStyle w:val="Нет"/>
          <w:u w:color="000000"/>
          <w:shd w:val="clear" w:color="auto" w:fill="ffffff"/>
          <w:rtl w:val="0"/>
          <w:lang w:val="en-US"/>
        </w:rPr>
        <w:t>pH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&lt;5 - </w:t>
      </w:r>
      <w:r>
        <w:rPr>
          <w:rStyle w:val="Нет"/>
          <w:u w:color="000000"/>
          <w:shd w:val="clear" w:color="auto" w:fill="ffffff"/>
          <w:rtl w:val="0"/>
          <w:lang w:val="ru-RU"/>
        </w:rPr>
        <w:t>ионный обмен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Механизм сорбции </w:t>
      </w:r>
      <w:r>
        <w:rPr>
          <w:rStyle w:val="Нет"/>
          <w:u w:color="000000"/>
          <w:shd w:val="clear" w:color="auto" w:fill="ffffff"/>
          <w:rtl w:val="0"/>
          <w:lang w:val="en-US"/>
        </w:rPr>
        <w:t>Cs</w:t>
      </w:r>
      <w:r>
        <w:rPr>
          <w:rStyle w:val="Нет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u w:color="000000"/>
          <w:shd w:val="clear" w:color="auto" w:fill="ffffff"/>
          <w:rtl w:val="0"/>
          <w:lang w:val="en-US"/>
        </w:rPr>
        <w:t>I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на широком диапазоне </w:t>
      </w:r>
      <w:r>
        <w:rPr>
          <w:rStyle w:val="Нет"/>
          <w:u w:color="000000"/>
          <w:shd w:val="clear" w:color="auto" w:fill="ffffff"/>
          <w:rtl w:val="0"/>
          <w:lang w:val="en-US"/>
        </w:rPr>
        <w:t>pH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 – ионный обмен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Присутствие конкурирующих катионов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(Ca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и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Mg)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оказывают значительное влияние на значения сорбции </w:t>
      </w:r>
      <w:r>
        <w:rPr>
          <w:rStyle w:val="Нет"/>
          <w:u w:color="000000"/>
          <w:shd w:val="clear" w:color="auto" w:fill="ffffff"/>
          <w:rtl w:val="0"/>
          <w:lang w:val="en-US"/>
        </w:rPr>
        <w:t>Sr</w:t>
      </w:r>
      <w:r>
        <w:rPr>
          <w:rStyle w:val="Нет"/>
          <w:u w:color="000000"/>
          <w:shd w:val="clear" w:color="auto" w:fill="ffffff"/>
          <w:vertAlign w:val="superscript"/>
          <w:rtl w:val="0"/>
          <w:lang w:val="ru-RU"/>
        </w:rPr>
        <w:t>2+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наибольшее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катион </w:t>
      </w:r>
      <w:r>
        <w:rPr>
          <w:rStyle w:val="Нет"/>
          <w:u w:color="000000"/>
          <w:shd w:val="clear" w:color="auto" w:fill="ffffff"/>
          <w:rtl w:val="0"/>
          <w:lang w:val="en-US"/>
        </w:rPr>
        <w:t>Ca</w:t>
      </w:r>
      <w:r>
        <w:rPr>
          <w:rStyle w:val="Нет"/>
          <w:u w:color="000000"/>
          <w:shd w:val="clear" w:color="auto" w:fill="ffffff"/>
          <w:vertAlign w:val="superscript"/>
          <w:rtl w:val="0"/>
          <w:lang w:val="ru-RU"/>
        </w:rPr>
        <w:t>2+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). 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Присутствие конкурирующих катионов </w:t>
      </w:r>
      <w:r>
        <w:rPr>
          <w:rStyle w:val="Нет"/>
          <w:u w:color="000000"/>
          <w:shd w:val="clear" w:color="auto" w:fill="ffffff"/>
          <w:rtl w:val="0"/>
          <w:lang w:val="en-US"/>
        </w:rPr>
        <w:t>K</w:t>
      </w:r>
      <w:r>
        <w:rPr>
          <w:rStyle w:val="Нет"/>
          <w:u w:color="000000"/>
          <w:shd w:val="clear" w:color="auto" w:fill="ffffff"/>
          <w:vertAlign w:val="superscript"/>
          <w:rtl w:val="0"/>
          <w:lang w:val="ru-RU"/>
        </w:rPr>
        <w:t>+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 и </w:t>
      </w:r>
      <w:r>
        <w:rPr>
          <w:rStyle w:val="Нет"/>
          <w:u w:color="000000"/>
          <w:shd w:val="clear" w:color="auto" w:fill="ffffff"/>
          <w:rtl w:val="0"/>
          <w:lang w:val="en-US"/>
        </w:rPr>
        <w:t>Na</w:t>
      </w:r>
      <w:r>
        <w:rPr>
          <w:rStyle w:val="Нет"/>
          <w:u w:color="000000"/>
          <w:shd w:val="clear" w:color="auto" w:fill="ffffff"/>
          <w:vertAlign w:val="superscript"/>
          <w:rtl w:val="0"/>
          <w:lang w:val="ru-RU"/>
        </w:rPr>
        <w:t>+</w:t>
      </w:r>
      <w:r>
        <w:rPr>
          <w:rStyle w:val="Нет"/>
          <w:u w:color="000000"/>
          <w:shd w:val="clear" w:color="auto" w:fill="ffffff"/>
          <w:rtl w:val="0"/>
          <w:lang w:val="ru-RU"/>
        </w:rPr>
        <w:t xml:space="preserve"> влияет одинаково на сорбцию </w:t>
      </w:r>
      <w:r>
        <w:rPr>
          <w:rStyle w:val="Нет"/>
          <w:u w:color="000000"/>
          <w:shd w:val="clear" w:color="auto" w:fill="ffffff"/>
          <w:rtl w:val="0"/>
          <w:lang w:val="en-US"/>
        </w:rPr>
        <w:t>Cs</w:t>
      </w:r>
      <w:r>
        <w:rPr>
          <w:rStyle w:val="Нет"/>
          <w:u w:color="000000"/>
          <w:shd w:val="clear" w:color="auto" w:fill="ffffff"/>
          <w:vertAlign w:val="superscript"/>
          <w:rtl w:val="0"/>
          <w:lang w:val="ru-RU"/>
        </w:rPr>
        <w:t>+</w:t>
      </w:r>
      <w:r>
        <w:rPr>
          <w:rStyle w:val="Нет"/>
          <w:u w:color="000000"/>
          <w:shd w:val="clear" w:color="auto" w:fill="ffffff"/>
          <w:rtl w:val="0"/>
          <w:lang w:val="ru-RU"/>
        </w:rPr>
        <w:t>.</w:t>
      </w:r>
    </w:p>
    <w:p>
      <w:pPr>
        <w:pStyle w:val="Текстовый блок A"/>
        <w:ind w:firstLine="567"/>
      </w:pPr>
      <w:r>
        <w:rPr>
          <w:rStyle w:val="Нет"/>
          <w:rtl w:val="0"/>
          <w:lang w:val="ru-RU"/>
        </w:rPr>
        <w:t xml:space="preserve">Для обращения с </w:t>
      </w:r>
      <w:r>
        <w:rPr>
          <w:rStyle w:val="Нет"/>
          <w:rtl w:val="0"/>
          <w:lang w:val="ru-RU"/>
        </w:rPr>
        <w:t>окислом графена</w:t>
      </w:r>
      <w:r>
        <w:rPr>
          <w:rStyle w:val="Нет"/>
          <w:rtl w:val="0"/>
          <w:lang w:val="ru-RU"/>
        </w:rPr>
        <w:t xml:space="preserve"> после сорбции радионуклида было предложено два варианта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отжиг образца с сорбатом на поверхности для минимизации образующихся отходов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по окончании которого сорбат удалось перевести в форму соли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en-US"/>
        </w:rPr>
        <w:t>Eu</w:t>
      </w:r>
      <w:r>
        <w:rPr>
          <w:rStyle w:val="Нет"/>
          <w:vertAlign w:val="subscript"/>
          <w:rtl w:val="0"/>
          <w:lang w:val="en-US"/>
        </w:rPr>
        <w:t>2</w:t>
      </w:r>
      <w:r>
        <w:rPr>
          <w:rStyle w:val="Нет"/>
          <w:rtl w:val="0"/>
          <w:lang w:val="en-US"/>
        </w:rPr>
        <w:t>O</w:t>
      </w:r>
      <w:r>
        <w:rPr>
          <w:rStyle w:val="Нет"/>
          <w:vertAlign w:val="subscript"/>
          <w:rtl w:val="0"/>
          <w:lang w:val="en-US"/>
        </w:rPr>
        <w:t>2</w:t>
      </w:r>
      <w:r>
        <w:rPr>
          <w:rStyle w:val="Нет"/>
          <w:rtl w:val="0"/>
          <w:lang w:val="en-US"/>
        </w:rPr>
        <w:t>SO</w:t>
      </w:r>
      <w:r>
        <w:rPr>
          <w:rStyle w:val="Нет"/>
          <w:vertAlign w:val="subscript"/>
          <w:rtl w:val="0"/>
          <w:lang w:val="en-US"/>
        </w:rPr>
        <w:t>4</w:t>
      </w:r>
      <w:r>
        <w:rPr>
          <w:rStyle w:val="Нет"/>
          <w:rtl w:val="0"/>
          <w:lang w:val="en-US"/>
        </w:rPr>
        <w:t xml:space="preserve"> </w:t>
      </w:r>
      <w:r>
        <w:rPr>
          <w:rStyle w:val="Нет"/>
          <w:rtl w:val="0"/>
          <w:lang w:val="ru-RU"/>
        </w:rPr>
        <w:t xml:space="preserve">для </w:t>
      </w:r>
      <w:r>
        <w:rPr>
          <w:rStyle w:val="Нет"/>
          <w:rtl w:val="0"/>
          <w:lang w:val="en-US"/>
        </w:rPr>
        <w:t>Eu(III)</w:t>
      </w:r>
      <w:r>
        <w:rPr>
          <w:rStyle w:val="Нет"/>
          <w:rtl w:val="0"/>
          <w:lang w:val="ru-RU"/>
        </w:rPr>
        <w:t>,</w:t>
      </w:r>
      <w:r>
        <w:rPr>
          <w:rStyle w:val="Нет"/>
          <w:rtl w:val="0"/>
          <w:lang w:val="en-US"/>
        </w:rPr>
        <w:t xml:space="preserve"> </w:t>
      </w:r>
      <w:r>
        <w:rPr>
          <w:rStyle w:val="Нет"/>
          <w:rtl w:val="0"/>
          <w:lang w:val="en-US"/>
        </w:rPr>
        <w:t>Sr</w:t>
      </w:r>
      <w:r>
        <w:rPr>
          <w:rStyle w:val="Нет"/>
          <w:rtl w:val="0"/>
          <w:lang w:val="en-US"/>
        </w:rPr>
        <w:t>CO</w:t>
      </w:r>
      <w:r>
        <w:rPr>
          <w:rStyle w:val="Нет"/>
          <w:vertAlign w:val="subscript"/>
          <w:rtl w:val="0"/>
          <w:lang w:val="en-US"/>
        </w:rPr>
        <w:t>3</w:t>
      </w:r>
      <w:r>
        <w:rPr>
          <w:rStyle w:val="Нет"/>
          <w:vertAlign w:val="subscript"/>
          <w:rtl w:val="0"/>
          <w:lang w:val="ru-RU"/>
        </w:rPr>
        <w:t xml:space="preserve"> </w:t>
      </w:r>
      <w:r>
        <w:rPr>
          <w:rStyle w:val="Нет"/>
          <w:sz w:val="26"/>
          <w:szCs w:val="26"/>
          <w:rtl w:val="0"/>
          <w:lang w:val="ru-RU"/>
        </w:rPr>
        <w:t xml:space="preserve">для </w:t>
      </w:r>
      <w:r>
        <w:rPr>
          <w:rStyle w:val="Нет"/>
          <w:sz w:val="26"/>
          <w:szCs w:val="26"/>
          <w:rtl w:val="0"/>
          <w:lang w:val="en-US"/>
        </w:rPr>
        <w:t>Sr</w:t>
      </w:r>
      <w:r>
        <w:rPr>
          <w:rStyle w:val="Нет"/>
          <w:sz w:val="26"/>
          <w:szCs w:val="26"/>
          <w:rtl w:val="0"/>
          <w:lang w:val="ru-RU"/>
        </w:rPr>
        <w:t>(</w:t>
      </w:r>
      <w:r>
        <w:rPr>
          <w:rStyle w:val="Нет"/>
          <w:sz w:val="26"/>
          <w:szCs w:val="26"/>
          <w:rtl w:val="0"/>
          <w:lang w:val="en-US"/>
        </w:rPr>
        <w:t>II</w:t>
      </w:r>
      <w:r>
        <w:rPr>
          <w:rStyle w:val="Нет"/>
          <w:sz w:val="26"/>
          <w:szCs w:val="26"/>
          <w:rtl w:val="0"/>
          <w:lang w:val="ru-RU"/>
        </w:rPr>
        <w:t xml:space="preserve">) </w:t>
      </w:r>
      <w:r>
        <w:rPr>
          <w:rStyle w:val="Нет"/>
          <w:sz w:val="26"/>
          <w:szCs w:val="26"/>
          <w:rtl w:val="0"/>
          <w:lang w:val="ru-RU"/>
        </w:rPr>
        <w:t xml:space="preserve">и </w:t>
      </w:r>
      <w:r>
        <w:rPr>
          <w:rStyle w:val="Нет"/>
          <w:rtl w:val="0"/>
          <w:lang w:val="en-US"/>
        </w:rPr>
        <w:t>CsCl</w:t>
      </w:r>
      <w:r>
        <w:rPr>
          <w:rStyle w:val="Нет"/>
          <w:rtl w:val="0"/>
          <w:lang w:val="ru-RU"/>
        </w:rPr>
        <w:t xml:space="preserve"> для </w:t>
      </w:r>
      <w:r>
        <w:rPr>
          <w:rStyle w:val="Нет"/>
          <w:rtl w:val="0"/>
          <w:lang w:val="en-US"/>
        </w:rPr>
        <w:t>Cs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en-US"/>
        </w:rPr>
        <w:t>I</w:t>
      </w:r>
      <w:r>
        <w:rPr>
          <w:rStyle w:val="Нет"/>
          <w:rtl w:val="0"/>
          <w:lang w:val="ru-RU"/>
        </w:rPr>
        <w:t xml:space="preserve">)) </w:t>
      </w:r>
      <w:r>
        <w:rPr>
          <w:rStyle w:val="Нет"/>
          <w:rtl w:val="0"/>
          <w:lang w:val="ru-RU"/>
        </w:rPr>
        <w:t xml:space="preserve">и выщелачивание радионуклида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для оксида графена наблюдался высокий процент выщелачивания и быстрая кинетика</w:t>
      </w:r>
      <w:r>
        <w:rPr>
          <w:rStyle w:val="Нет"/>
          <w:rtl w:val="0"/>
          <w:lang w:val="ru-RU"/>
        </w:rPr>
        <w:t>).</w:t>
      </w:r>
    </w:p>
    <w:p>
      <w:pPr>
        <w:pStyle w:val="Текстовый блок A"/>
        <w:ind w:firstLine="567"/>
      </w:pPr>
      <w:r>
        <w:rPr>
          <w:rStyle w:val="Нет"/>
          <w:shd w:val="clear" w:color="auto" w:fill="fefefe"/>
          <w:rtl w:val="0"/>
          <w:lang w:val="ru-RU"/>
        </w:rPr>
        <w:t>Исследование закономерностей коагуляции</w:t>
      </w:r>
      <w:r>
        <w:rPr>
          <w:rStyle w:val="Нет"/>
          <w:shd w:val="clear" w:color="auto" w:fill="fefefe"/>
          <w:rtl w:val="0"/>
          <w:lang w:val="en-US"/>
        </w:rPr>
        <w:t xml:space="preserve"> </w:t>
      </w:r>
      <w:r>
        <w:rPr>
          <w:rStyle w:val="Нет"/>
          <w:shd w:val="clear" w:color="auto" w:fill="fefefe"/>
          <w:rtl w:val="0"/>
          <w:lang w:val="ru-RU"/>
        </w:rPr>
        <w:t>оксида графена</w:t>
      </w:r>
      <w:r>
        <w:rPr>
          <w:rStyle w:val="Нет"/>
          <w:shd w:val="clear" w:color="auto" w:fill="fefefe"/>
          <w:rtl w:val="0"/>
          <w:lang w:val="ru-RU"/>
        </w:rPr>
        <w:t xml:space="preserve"> и её обратимости проводилось при изменении значений </w:t>
      </w:r>
      <w:r>
        <w:rPr>
          <w:rStyle w:val="Нет"/>
          <w:shd w:val="clear" w:color="auto" w:fill="fefefe"/>
          <w:rtl w:val="0"/>
          <w:lang w:val="en-US"/>
        </w:rPr>
        <w:t>pH</w:t>
      </w:r>
      <w:r>
        <w:rPr>
          <w:rStyle w:val="Нет"/>
          <w:shd w:val="clear" w:color="auto" w:fill="fefefe"/>
          <w:rtl w:val="0"/>
          <w:lang w:val="ru-RU"/>
        </w:rPr>
        <w:t xml:space="preserve">, </w:t>
      </w:r>
      <w:r>
        <w:rPr>
          <w:rStyle w:val="Нет"/>
          <w:shd w:val="clear" w:color="auto" w:fill="fefefe"/>
          <w:rtl w:val="0"/>
          <w:lang w:val="ru-RU"/>
        </w:rPr>
        <w:t xml:space="preserve">а также сорбции и десорбции катионов </w:t>
      </w:r>
      <w:r>
        <w:rPr>
          <w:rStyle w:val="Нет"/>
          <w:shd w:val="clear" w:color="auto" w:fill="fefefe"/>
          <w:rtl w:val="0"/>
          <w:lang w:val="en-US"/>
        </w:rPr>
        <w:t>Eu</w:t>
      </w:r>
      <w:r>
        <w:rPr>
          <w:rStyle w:val="Нет"/>
          <w:shd w:val="clear" w:color="auto" w:fill="fefefe"/>
          <w:vertAlign w:val="superscript"/>
          <w:rtl w:val="0"/>
          <w:lang w:val="ru-RU"/>
        </w:rPr>
        <w:t>3+</w:t>
      </w:r>
      <w:r>
        <w:rPr>
          <w:rStyle w:val="Нет"/>
          <w:shd w:val="clear" w:color="auto" w:fill="fefefe"/>
          <w:rtl w:val="0"/>
          <w:lang w:val="ru-RU"/>
        </w:rPr>
        <w:t xml:space="preserve"> и </w:t>
      </w:r>
      <w:r>
        <w:rPr>
          <w:rStyle w:val="Нет"/>
          <w:shd w:val="clear" w:color="auto" w:fill="fefefe"/>
          <w:rtl w:val="0"/>
          <w:lang w:val="en-US"/>
        </w:rPr>
        <w:t>Ca</w:t>
      </w:r>
      <w:r>
        <w:rPr>
          <w:rStyle w:val="Нет"/>
          <w:shd w:val="clear" w:color="auto" w:fill="fefefe"/>
          <w:vertAlign w:val="superscript"/>
          <w:rtl w:val="0"/>
          <w:lang w:val="ru-RU"/>
        </w:rPr>
        <w:t>2+</w:t>
      </w:r>
      <w:r>
        <w:rPr>
          <w:rStyle w:val="Нет"/>
          <w:shd w:val="clear" w:color="auto" w:fill="fefefe"/>
          <w:rtl w:val="0"/>
          <w:lang w:val="ru-RU"/>
        </w:rPr>
        <w:t xml:space="preserve">. </w:t>
      </w:r>
      <w:r>
        <w:rPr>
          <w:rStyle w:val="Нет"/>
          <w:shd w:val="clear" w:color="auto" w:fill="fefefe"/>
          <w:rtl w:val="0"/>
          <w:lang w:val="ru-RU"/>
        </w:rPr>
        <w:t>Регистрировались значения</w:t>
      </w:r>
      <w:r>
        <w:rPr>
          <w:rStyle w:val="Нет"/>
          <w:shd w:val="clear" w:color="auto" w:fill="fefefe"/>
          <w:rtl w:val="0"/>
          <w:lang w:val="ru-RU"/>
        </w:rPr>
        <w:t xml:space="preserve"> </w:t>
      </w:r>
      <w:r>
        <w:rPr>
          <w:rStyle w:val="Нет"/>
          <w:shd w:val="clear" w:color="auto" w:fill="fefefe"/>
          <w:rtl w:val="0"/>
          <w:lang w:val="en-US"/>
        </w:rPr>
        <w:t>ζ</w:t>
      </w:r>
      <w:r>
        <w:rPr>
          <w:rStyle w:val="Нет"/>
          <w:shd w:val="clear" w:color="auto" w:fill="fefefe"/>
          <w:rtl w:val="0"/>
          <w:lang w:val="ru-RU"/>
        </w:rPr>
        <w:t>-</w:t>
      </w:r>
      <w:r>
        <w:rPr>
          <w:rStyle w:val="Нет"/>
          <w:shd w:val="clear" w:color="auto" w:fill="fefefe"/>
          <w:rtl w:val="0"/>
          <w:lang w:val="ru-RU"/>
        </w:rPr>
        <w:t>потенциала и спектров поглощения</w:t>
      </w:r>
      <w:r>
        <w:rPr>
          <w:rStyle w:val="Нет"/>
          <w:shd w:val="clear" w:color="auto" w:fill="fefefe"/>
          <w:rtl w:val="0"/>
          <w:lang w:val="ru-RU"/>
        </w:rPr>
        <w:t xml:space="preserve"> раствора</w:t>
      </w:r>
      <w:r>
        <w:rPr>
          <w:rStyle w:val="Нет"/>
          <w:shd w:val="clear" w:color="auto" w:fill="fefefe"/>
          <w:rtl w:val="0"/>
          <w:lang w:val="ru-RU"/>
        </w:rPr>
        <w:t xml:space="preserve">. </w:t>
      </w:r>
      <w:r>
        <w:rPr>
          <w:rStyle w:val="Нет"/>
          <w:shd w:val="clear" w:color="auto" w:fill="fefefe"/>
          <w:rtl w:val="0"/>
          <w:lang w:val="ru-RU"/>
        </w:rPr>
        <w:t xml:space="preserve">Была показана обратимости коагуляции оксида графена при изменении </w:t>
      </w:r>
      <w:r>
        <w:rPr>
          <w:rStyle w:val="Нет"/>
          <w:shd w:val="clear" w:color="auto" w:fill="fefefe"/>
          <w:rtl w:val="0"/>
          <w:lang w:val="en-US"/>
        </w:rPr>
        <w:t>pH</w:t>
      </w:r>
      <w:r>
        <w:rPr>
          <w:rStyle w:val="Нет"/>
          <w:shd w:val="clear" w:color="auto" w:fill="fefefe"/>
          <w:rtl w:val="0"/>
          <w:lang w:val="ru-RU"/>
        </w:rPr>
        <w:t xml:space="preserve">. </w:t>
      </w:r>
      <w:r>
        <w:rPr>
          <w:rStyle w:val="Нет"/>
          <w:shd w:val="clear" w:color="auto" w:fill="fefefe"/>
          <w:rtl w:val="0"/>
          <w:lang w:val="ru-RU"/>
        </w:rPr>
        <w:t>Определение обратимости коагуляции в</w:t>
      </w:r>
      <w:r>
        <w:rPr>
          <w:rStyle w:val="Нет"/>
          <w:shd w:val="clear" w:color="auto" w:fill="fefefe"/>
          <w:rtl w:val="0"/>
          <w:lang w:val="ru-RU"/>
        </w:rPr>
        <w:t xml:space="preserve"> случае сорбции и десорбции</w:t>
      </w:r>
      <w:r>
        <w:rPr>
          <w:rStyle w:val="Нет"/>
          <w:shd w:val="clear" w:color="auto" w:fill="fefefe"/>
          <w:rtl w:val="0"/>
          <w:lang w:val="ru-RU"/>
        </w:rPr>
        <w:t xml:space="preserve"> затруднено</w:t>
      </w:r>
      <w:r>
        <w:rPr>
          <w:rStyle w:val="Нет"/>
          <w:shd w:val="clear" w:color="auto" w:fill="fefefe"/>
          <w:rtl w:val="0"/>
          <w:lang w:val="ru-RU"/>
        </w:rPr>
        <w:t>.</w:t>
      </w:r>
    </w:p>
    <w:p>
      <w:pPr>
        <w:pStyle w:val="Normal.0"/>
        <w:ind w:firstLine="39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Литература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D.R. Dreyer, S. Park, Ch.W. Bielawski, R.S. Ruoff. The chemistry of graphene oxide. // The Royal Society of Chemistry.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2010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en-US"/>
        </w:rPr>
        <w:t>39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228-240</w:t>
      </w:r>
    </w:p>
    <w:p>
      <w:pPr>
        <w:pStyle w:val="List Paragraph"/>
        <w:spacing w:after="0" w:line="240" w:lineRule="auto"/>
        <w:ind w:left="434" w:hanging="37"/>
        <w:jc w:val="both"/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Работа выполнена при поддержке Российского научного фонда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грант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14-13-01279).</w:t>
      </w:r>
    </w:p>
    <w:sectPr>
      <w:headerReference w:type="default" r:id="rId4"/>
      <w:footerReference w:type="default" r:id="rId5"/>
      <w:pgSz w:w="11900" w:h="16840" w:orient="portrait"/>
      <w:pgMar w:top="1332" w:right="1332" w:bottom="1332" w:left="1332" w:header="142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num" w:pos="1440"/>
        </w:tabs>
        <w:ind w:left="1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num" w:pos="2160"/>
        </w:tabs>
        <w:ind w:left="2197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2880"/>
        </w:tabs>
        <w:ind w:left="29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num" w:pos="3600"/>
        </w:tabs>
        <w:ind w:left="3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num" w:pos="4320"/>
        </w:tabs>
        <w:ind w:left="4357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num" w:pos="5040"/>
        </w:tabs>
        <w:ind w:left="5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num" w:pos="5760"/>
        </w:tabs>
        <w:ind w:left="5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num" w:pos="6480"/>
        </w:tabs>
        <w:ind w:left="6517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u w:val="singl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